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E1749" w14:textId="01DC2644" w:rsidR="002E56B7" w:rsidRPr="002E56B7" w:rsidRDefault="002E56B7" w:rsidP="009D5A12">
      <w:pPr>
        <w:jc w:val="center"/>
        <w:rPr>
          <w:b/>
          <w:bCs/>
          <w:sz w:val="28"/>
          <w:szCs w:val="28"/>
        </w:rPr>
      </w:pPr>
      <w:r w:rsidRPr="002E56B7">
        <w:rPr>
          <w:b/>
          <w:bCs/>
          <w:noProof/>
        </w:rPr>
        <mc:AlternateContent>
          <mc:Choice Requires="wps">
            <w:drawing>
              <wp:anchor distT="45720" distB="45720" distL="114300" distR="114300" simplePos="0" relativeHeight="251659264" behindDoc="0" locked="0" layoutInCell="1" allowOverlap="1" wp14:anchorId="1ADE690F" wp14:editId="2B9AB2AF">
                <wp:simplePos x="0" y="0"/>
                <wp:positionH relativeFrom="column">
                  <wp:posOffset>-222250</wp:posOffset>
                </wp:positionH>
                <wp:positionV relativeFrom="paragraph">
                  <wp:posOffset>520700</wp:posOffset>
                </wp:positionV>
                <wp:extent cx="6311900" cy="74612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7461250"/>
                        </a:xfrm>
                        <a:prstGeom prst="rect">
                          <a:avLst/>
                        </a:prstGeom>
                        <a:solidFill>
                          <a:srgbClr val="FFFFFF"/>
                        </a:solidFill>
                        <a:ln w="9525">
                          <a:solidFill>
                            <a:srgbClr val="000000"/>
                          </a:solidFill>
                          <a:miter lim="800000"/>
                          <a:headEnd/>
                          <a:tailEnd/>
                        </a:ln>
                      </wps:spPr>
                      <wps:txbx>
                        <w:txbxContent>
                          <w:p w14:paraId="3C1D01CA" w14:textId="7D99F142" w:rsidR="002E56B7" w:rsidRPr="00BA0024" w:rsidRDefault="002E56B7" w:rsidP="002E56B7">
                            <w:pPr>
                              <w:rPr>
                                <w:b/>
                                <w:bCs/>
                              </w:rPr>
                            </w:pPr>
                            <w:r>
                              <w:rPr>
                                <w:b/>
                                <w:bCs/>
                              </w:rPr>
                              <w:t xml:space="preserve">What is the </w:t>
                            </w:r>
                            <w:r w:rsidRPr="00BA0024">
                              <w:rPr>
                                <w:b/>
                                <w:bCs/>
                              </w:rPr>
                              <w:t>Fit for 55</w:t>
                            </w:r>
                            <w:r>
                              <w:rPr>
                                <w:b/>
                                <w:bCs/>
                              </w:rPr>
                              <w:t>?</w:t>
                            </w:r>
                          </w:p>
                          <w:p w14:paraId="3FDA6B5D" w14:textId="489694F7" w:rsidR="002E56B7" w:rsidRPr="00763E5A" w:rsidRDefault="002E56B7" w:rsidP="002E56B7">
                            <w:r w:rsidRPr="00763E5A">
                              <w:t>The Fit for 55 package is a </w:t>
                            </w:r>
                            <w:r w:rsidRPr="00763E5A">
                              <w:rPr>
                                <w:rStyle w:val="Strong"/>
                                <w:rFonts w:cstheme="minorHAnsi"/>
                              </w:rPr>
                              <w:t xml:space="preserve">set of proposals to revise and update </w:t>
                            </w:r>
                            <w:r w:rsidR="00BD3A19">
                              <w:rPr>
                                <w:rStyle w:val="Strong"/>
                                <w:rFonts w:cstheme="minorHAnsi"/>
                              </w:rPr>
                              <w:t xml:space="preserve">most of the </w:t>
                            </w:r>
                            <w:r w:rsidRPr="00763E5A">
                              <w:rPr>
                                <w:rStyle w:val="Strong"/>
                                <w:rFonts w:cstheme="minorHAnsi"/>
                              </w:rPr>
                              <w:t>EU</w:t>
                            </w:r>
                            <w:r w:rsidR="00BD3A19">
                              <w:rPr>
                                <w:rStyle w:val="Strong"/>
                                <w:rFonts w:cstheme="minorHAnsi"/>
                              </w:rPr>
                              <w:t>’s climate and energy</w:t>
                            </w:r>
                            <w:r w:rsidRPr="00763E5A">
                              <w:rPr>
                                <w:rStyle w:val="Strong"/>
                                <w:rFonts w:cstheme="minorHAnsi"/>
                              </w:rPr>
                              <w:t xml:space="preserve"> legislation</w:t>
                            </w:r>
                            <w:r w:rsidR="00774808">
                              <w:rPr>
                                <w:rStyle w:val="Strong"/>
                                <w:rFonts w:cstheme="minorHAnsi"/>
                              </w:rPr>
                              <w:t xml:space="preserve"> </w:t>
                            </w:r>
                            <w:r w:rsidR="00774808">
                              <w:t xml:space="preserve">to align it with </w:t>
                            </w:r>
                            <w:r w:rsidR="00BD3A19">
                              <w:t>its new goals set out in the European Green Deal and new climate law</w:t>
                            </w:r>
                            <w:r w:rsidRPr="00763E5A">
                              <w:t>.</w:t>
                            </w:r>
                            <w:r>
                              <w:t xml:space="preserve"> Essentially, “</w:t>
                            </w:r>
                            <w:r w:rsidRPr="00763E5A">
                              <w:t>Fit for 55</w:t>
                            </w:r>
                            <w:r>
                              <w:t>”</w:t>
                            </w:r>
                            <w:r w:rsidRPr="00763E5A">
                              <w:t xml:space="preserve"> refers to the EU’s target of reducing net greenhouse gas emissions by at least 55% by 2030​. </w:t>
                            </w:r>
                          </w:p>
                          <w:p w14:paraId="3955A57A" w14:textId="77777777" w:rsidR="002E56B7" w:rsidRPr="00BA0024" w:rsidRDefault="002E56B7" w:rsidP="002E56B7">
                            <w:pPr>
                              <w:rPr>
                                <w:b/>
                                <w:bCs/>
                              </w:rPr>
                            </w:pPr>
                            <w:r w:rsidRPr="00BA0024">
                              <w:rPr>
                                <w:b/>
                                <w:bCs/>
                              </w:rPr>
                              <w:t>Here is your guide through the important legislations:</w:t>
                            </w:r>
                          </w:p>
                          <w:p w14:paraId="25BA193B" w14:textId="0EC1B27E" w:rsidR="002E56B7" w:rsidRPr="00A82A72" w:rsidRDefault="00A82A72" w:rsidP="002E56B7">
                            <w:pPr>
                              <w:pStyle w:val="ListParagraph"/>
                              <w:numPr>
                                <w:ilvl w:val="0"/>
                                <w:numId w:val="3"/>
                              </w:numPr>
                              <w:ind w:left="0" w:firstLine="0"/>
                            </w:pPr>
                            <w:r>
                              <w:rPr>
                                <w:b/>
                                <w:bCs/>
                                <w:shd w:val="clear" w:color="auto" w:fill="FFFFFF"/>
                              </w:rPr>
                              <w:t xml:space="preserve">Revision of the </w:t>
                            </w:r>
                            <w:r w:rsidR="002E56B7" w:rsidRPr="00BA0024">
                              <w:rPr>
                                <w:b/>
                                <w:bCs/>
                                <w:shd w:val="clear" w:color="auto" w:fill="FFFFFF"/>
                              </w:rPr>
                              <w:t>EU's emissions trading system (EU ETS)</w:t>
                            </w:r>
                            <w:r w:rsidR="002E56B7">
                              <w:rPr>
                                <w:shd w:val="clear" w:color="auto" w:fill="FFFFFF"/>
                              </w:rPr>
                              <w:br/>
                            </w:r>
                            <w:r w:rsidR="002E56B7" w:rsidRPr="00BA0024">
                              <w:rPr>
                                <w:shd w:val="clear" w:color="auto" w:fill="FFFFFF"/>
                              </w:rPr>
                              <w:t>The Commission has proposed a comprehensive set of changes to the existing EU ETS that should result in an overall emission reduction in sectors concerned of </w:t>
                            </w:r>
                            <w:r w:rsidR="002E56B7" w:rsidRPr="00BA0024">
                              <w:rPr>
                                <w:rStyle w:val="Strong"/>
                                <w:rFonts w:cstheme="minorHAnsi"/>
                                <w:shd w:val="clear" w:color="auto" w:fill="FFFFFF"/>
                              </w:rPr>
                              <w:t>61% by 2030</w:t>
                            </w:r>
                            <w:r w:rsidR="002E56B7" w:rsidRPr="00BA0024">
                              <w:rPr>
                                <w:shd w:val="clear" w:color="auto" w:fill="FFFFFF"/>
                              </w:rPr>
                              <w:t> compared with 2005.</w:t>
                            </w:r>
                          </w:p>
                          <w:p w14:paraId="7B319F4F" w14:textId="2886BB4D" w:rsidR="00A82A72" w:rsidRPr="006A382E" w:rsidRDefault="006A382E" w:rsidP="00A82A72">
                            <w:pPr>
                              <w:pStyle w:val="ListParagraph"/>
                              <w:numPr>
                                <w:ilvl w:val="1"/>
                                <w:numId w:val="3"/>
                              </w:numPr>
                            </w:pPr>
                            <w:r>
                              <w:rPr>
                                <w:shd w:val="clear" w:color="auto" w:fill="FFFFFF"/>
                              </w:rPr>
                              <w:t>Within the revision, t</w:t>
                            </w:r>
                            <w:r w:rsidR="00A82A72" w:rsidRPr="00A82A72">
                              <w:rPr>
                                <w:shd w:val="clear" w:color="auto" w:fill="FFFFFF"/>
                              </w:rPr>
                              <w:t xml:space="preserve">he Commission has suggested the </w:t>
                            </w:r>
                            <w:r w:rsidR="00A82A72">
                              <w:rPr>
                                <w:shd w:val="clear" w:color="auto" w:fill="FFFFFF"/>
                              </w:rPr>
                              <w:t>creation of a new separate ETS</w:t>
                            </w:r>
                            <w:r w:rsidR="00A82A72" w:rsidRPr="00A82A72">
                              <w:rPr>
                                <w:shd w:val="clear" w:color="auto" w:fill="FFFFFF"/>
                              </w:rPr>
                              <w:t xml:space="preserve"> </w:t>
                            </w:r>
                            <w:r w:rsidR="00A82A72">
                              <w:rPr>
                                <w:shd w:val="clear" w:color="auto" w:fill="FFFFFF"/>
                              </w:rPr>
                              <w:t>to cover road</w:t>
                            </w:r>
                            <w:r w:rsidR="00A82A72" w:rsidRPr="00A82A72">
                              <w:rPr>
                                <w:shd w:val="clear" w:color="auto" w:fill="FFFFFF"/>
                              </w:rPr>
                              <w:t xml:space="preserve"> transport and buildings sector</w:t>
                            </w:r>
                            <w:r w:rsidR="00A82A72">
                              <w:rPr>
                                <w:shd w:val="clear" w:color="auto" w:fill="FFFFFF"/>
                              </w:rPr>
                              <w:t>.</w:t>
                            </w:r>
                          </w:p>
                          <w:p w14:paraId="65866444" w14:textId="77777777" w:rsidR="006A382E" w:rsidRPr="00A82A72" w:rsidRDefault="006A382E" w:rsidP="006A382E">
                            <w:pPr>
                              <w:pStyle w:val="ListParagraph"/>
                              <w:ind w:left="1080"/>
                            </w:pPr>
                          </w:p>
                          <w:p w14:paraId="5D3D214A" w14:textId="77777777" w:rsidR="006A382E" w:rsidRPr="006A382E" w:rsidRDefault="006A382E" w:rsidP="00A82A72">
                            <w:pPr>
                              <w:pStyle w:val="ListParagraph"/>
                              <w:numPr>
                                <w:ilvl w:val="0"/>
                                <w:numId w:val="3"/>
                              </w:numPr>
                              <w:rPr>
                                <w:b/>
                                <w:bCs/>
                              </w:rPr>
                            </w:pPr>
                            <w:r w:rsidRPr="006A382E">
                              <w:rPr>
                                <w:b/>
                                <w:bCs/>
                              </w:rPr>
                              <w:t>Emissions Trading system for aviation</w:t>
                            </w:r>
                          </w:p>
                          <w:p w14:paraId="6F66B317" w14:textId="4A91FF1A" w:rsidR="002E56B7" w:rsidRPr="00763E5A" w:rsidRDefault="006A382E" w:rsidP="006A382E">
                            <w:r w:rsidRPr="006A382E">
                              <w:t>The Commission has proposed to phase out</w:t>
                            </w:r>
                            <w:r>
                              <w:t xml:space="preserve"> the sector’s</w:t>
                            </w:r>
                            <w:r w:rsidRPr="006A382E">
                              <w:t xml:space="preserve"> free allocation of EU Allowances for the aviation sector by 2027.</w:t>
                            </w:r>
                            <w:r>
                              <w:t xml:space="preserve"> </w:t>
                            </w:r>
                            <w:r w:rsidRPr="006A382E">
                              <w:t>The Commission proposes that flights within the European Economic Area (EEA) continue to be covered by the EU ETS, as well as flights to Switzerland and the UK.</w:t>
                            </w:r>
                          </w:p>
                          <w:p w14:paraId="51F15E35" w14:textId="77777777" w:rsidR="002E56B7" w:rsidRDefault="002E56B7" w:rsidP="002E56B7">
                            <w:pPr>
                              <w:pStyle w:val="ListParagraph"/>
                              <w:numPr>
                                <w:ilvl w:val="0"/>
                                <w:numId w:val="3"/>
                              </w:numPr>
                              <w:tabs>
                                <w:tab w:val="left" w:pos="0"/>
                              </w:tabs>
                              <w:ind w:left="0" w:firstLine="0"/>
                              <w:rPr>
                                <w:rFonts w:eastAsia="Times New Roman"/>
                              </w:rPr>
                            </w:pPr>
                            <w:r w:rsidRPr="00BA0024">
                              <w:rPr>
                                <w:rFonts w:eastAsia="Times New Roman"/>
                                <w:b/>
                                <w:bCs/>
                              </w:rPr>
                              <w:t>Renewable Energy Directive (RED)</w:t>
                            </w:r>
                            <w:r>
                              <w:rPr>
                                <w:rFonts w:eastAsia="Times New Roman"/>
                              </w:rPr>
                              <w:br/>
                            </w:r>
                            <w:r w:rsidRPr="00BA0024">
                              <w:rPr>
                                <w:rFonts w:eastAsia="Times New Roman"/>
                              </w:rPr>
                              <w:t>The proposal is to increase the current EU-level target of at least 32% of renewable energy sources in the overall energy mix to at least 40% by 2030.</w:t>
                            </w:r>
                          </w:p>
                          <w:p w14:paraId="33B803FA" w14:textId="77777777" w:rsidR="002E56B7" w:rsidRPr="00BA0024" w:rsidRDefault="002E56B7" w:rsidP="002E56B7">
                            <w:pPr>
                              <w:pStyle w:val="ListParagraph"/>
                              <w:tabs>
                                <w:tab w:val="left" w:pos="0"/>
                              </w:tabs>
                              <w:ind w:left="0"/>
                              <w:rPr>
                                <w:rFonts w:eastAsia="Times New Roman"/>
                              </w:rPr>
                            </w:pPr>
                          </w:p>
                          <w:p w14:paraId="357D56CD" w14:textId="77777777" w:rsidR="002E56B7" w:rsidRDefault="002E56B7" w:rsidP="002E56B7">
                            <w:pPr>
                              <w:pStyle w:val="ListParagraph"/>
                              <w:numPr>
                                <w:ilvl w:val="0"/>
                                <w:numId w:val="3"/>
                              </w:numPr>
                              <w:ind w:left="0" w:firstLine="0"/>
                            </w:pPr>
                            <w:r w:rsidRPr="00BA0024">
                              <w:rPr>
                                <w:b/>
                                <w:bCs/>
                              </w:rPr>
                              <w:t>Energy Efficiency Directive (EED)</w:t>
                            </w:r>
                            <w:r>
                              <w:br/>
                            </w:r>
                            <w:r w:rsidRPr="00BA0024">
                              <w:t>The Commission has proposed to revise the current energy efficiency directive by increasing the current EU-level target for energy efficiency </w:t>
                            </w:r>
                            <w:r w:rsidRPr="00BA0024">
                              <w:rPr>
                                <w:rStyle w:val="Strong"/>
                                <w:rFonts w:cstheme="minorHAnsi"/>
                              </w:rPr>
                              <w:t>from 32.5% to 36%</w:t>
                            </w:r>
                            <w:r w:rsidRPr="00BA0024">
                              <w:t> for final, and </w:t>
                            </w:r>
                            <w:r w:rsidRPr="00BA0024">
                              <w:rPr>
                                <w:rStyle w:val="Strong"/>
                                <w:rFonts w:cstheme="minorHAnsi"/>
                              </w:rPr>
                              <w:t>39%</w:t>
                            </w:r>
                            <w:r w:rsidRPr="00BA0024">
                              <w:t xml:space="preserve"> for primary energy consumption. In addition, it put forward several provisions to accelerate energy efficiency efforts by member states, such as increased annual energy savings obligations and new rules </w:t>
                            </w:r>
                            <w:r>
                              <w:t>to decrease</w:t>
                            </w:r>
                            <w:r w:rsidRPr="00BA0024">
                              <w:t xml:space="preserve"> the energy consumption of public sector buildings</w:t>
                            </w:r>
                            <w:r>
                              <w:t>.</w:t>
                            </w:r>
                          </w:p>
                          <w:p w14:paraId="2477CD2B" w14:textId="77777777" w:rsidR="002E56B7" w:rsidRPr="00BA0024" w:rsidRDefault="002E56B7" w:rsidP="002E56B7">
                            <w:pPr>
                              <w:pStyle w:val="ListParagraph"/>
                              <w:ind w:left="0"/>
                            </w:pPr>
                          </w:p>
                          <w:p w14:paraId="2306A42B" w14:textId="33836024" w:rsidR="002E56B7" w:rsidRPr="00BA0024" w:rsidRDefault="002E56B7" w:rsidP="002E56B7">
                            <w:pPr>
                              <w:pStyle w:val="ListParagraph"/>
                              <w:numPr>
                                <w:ilvl w:val="0"/>
                                <w:numId w:val="3"/>
                              </w:numPr>
                              <w:ind w:left="0" w:firstLine="0"/>
                              <w:rPr>
                                <w:lang w:val="fr-FR"/>
                              </w:rPr>
                            </w:pPr>
                            <w:r w:rsidRPr="00BA0024">
                              <w:rPr>
                                <w:b/>
                                <w:bCs/>
                              </w:rPr>
                              <w:t>Alternative infrastructure Regulation (AFIR)</w:t>
                            </w:r>
                            <w:r>
                              <w:br/>
                            </w:r>
                            <w:r w:rsidRPr="00763E5A">
                              <w:t xml:space="preserve">This </w:t>
                            </w:r>
                            <w:r>
                              <w:t>proposal aims</w:t>
                            </w:r>
                            <w:r w:rsidRPr="00763E5A">
                              <w:t xml:space="preserve"> to accelerate the deployment of infrastructure </w:t>
                            </w:r>
                            <w:r w:rsidRPr="00BA0024">
                              <w:t xml:space="preserve">fuels </w:t>
                            </w:r>
                            <w:r w:rsidRPr="00763E5A">
                              <w:t>for recharging or refueling vehicles with alternative fuels and to provide alternative power supply for ships in ports and stationary aircraft.</w:t>
                            </w:r>
                            <w:r>
                              <w:t xml:space="preserve"> </w:t>
                            </w:r>
                            <w:r w:rsidRPr="00763E5A">
                              <w:t>The proposal concerns all modes of transport and includes targets for infrastructure deployment. It also tackles interoperability and improves user friendliness.</w:t>
                            </w:r>
                          </w:p>
                          <w:p w14:paraId="36923A83" w14:textId="77777777" w:rsidR="002E56B7" w:rsidRPr="00957ADC" w:rsidRDefault="002E56B7" w:rsidP="002E56B7">
                            <w:pPr>
                              <w:pStyle w:val="ListParagraph"/>
                              <w:ind w:left="0"/>
                            </w:pPr>
                          </w:p>
                          <w:p w14:paraId="22DB9500" w14:textId="6871B8A6" w:rsidR="002E56B7" w:rsidRPr="002E56B7" w:rsidRDefault="002E56B7" w:rsidP="002E56B7">
                            <w:pPr>
                              <w:pStyle w:val="ListParagraph"/>
                              <w:numPr>
                                <w:ilvl w:val="0"/>
                                <w:numId w:val="3"/>
                              </w:numPr>
                              <w:tabs>
                                <w:tab w:val="left" w:pos="90"/>
                              </w:tabs>
                              <w:spacing w:before="240"/>
                              <w:ind w:left="0" w:firstLine="0"/>
                              <w:rPr>
                                <w:b/>
                                <w:bCs/>
                              </w:rPr>
                            </w:pPr>
                            <w:proofErr w:type="spellStart"/>
                            <w:r w:rsidRPr="00CD3809">
                              <w:rPr>
                                <w:b/>
                                <w:bCs/>
                              </w:rPr>
                              <w:t>ReFuelEU</w:t>
                            </w:r>
                            <w:proofErr w:type="spellEnd"/>
                            <w:r w:rsidRPr="00CD3809">
                              <w:rPr>
                                <w:b/>
                                <w:bCs/>
                              </w:rPr>
                              <w:t xml:space="preserve"> Aviation initiative</w:t>
                            </w:r>
                            <w:r w:rsidRPr="007E7C7D">
                              <w:rPr>
                                <w:b/>
                                <w:bCs/>
                              </w:rPr>
                              <w:t xml:space="preserve"> (Sustainable Aviation Fuels Initiative</w:t>
                            </w:r>
                            <w:r>
                              <w:rPr>
                                <w:b/>
                                <w:bCs/>
                              </w:rPr>
                              <w:t>)</w:t>
                            </w:r>
                            <w:r>
                              <w:rPr>
                                <w:b/>
                                <w:bCs/>
                              </w:rPr>
                              <w:br/>
                            </w:r>
                            <w:proofErr w:type="spellStart"/>
                            <w:r w:rsidRPr="007E7C7D">
                              <w:rPr>
                                <w:rFonts w:cstheme="minorHAnsi"/>
                              </w:rPr>
                              <w:t>ReFuelEU</w:t>
                            </w:r>
                            <w:proofErr w:type="spellEnd"/>
                            <w:r w:rsidRPr="007E7C7D">
                              <w:rPr>
                                <w:rFonts w:cstheme="minorHAnsi"/>
                              </w:rPr>
                              <w:t xml:space="preserve"> Aviation </w:t>
                            </w:r>
                            <w:r>
                              <w:rPr>
                                <w:rFonts w:cstheme="minorHAnsi"/>
                              </w:rPr>
                              <w:t>s</w:t>
                            </w:r>
                            <w:r w:rsidRPr="007E7C7D">
                              <w:rPr>
                                <w:rFonts w:cstheme="minorHAnsi"/>
                              </w:rPr>
                              <w:t>ets targets for the use of sustainable aviation fuels (SAFs) and synthetic fuels and provides guidance on which fuels can be considered sustainable, thereby influencing the supply and demand for SAFs in the EU and reducing the environmental footprint of aviation.</w:t>
                            </w:r>
                          </w:p>
                          <w:p w14:paraId="051B8A4A" w14:textId="3DAEFFD9" w:rsidR="002E56B7" w:rsidRDefault="002E56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DE690F" id="_x0000_t202" coordsize="21600,21600" o:spt="202" path="m,l,21600r21600,l21600,xe">
                <v:stroke joinstyle="miter"/>
                <v:path gradientshapeok="t" o:connecttype="rect"/>
              </v:shapetype>
              <v:shape id="Text Box 2" o:spid="_x0000_s1026" type="#_x0000_t202" style="position:absolute;left:0;text-align:left;margin-left:-17.5pt;margin-top:41pt;width:497pt;height:5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">
                <v:textbox>
                  <w:txbxContent>
                    <w:p w14:paraId="3C1D01CA" w14:textId="7D99F142" w:rsidR="002E56B7" w:rsidRPr="00BA0024" w:rsidRDefault="002E56B7" w:rsidP="002E56B7">
                      <w:pPr>
                        <w:rPr>
                          <w:b/>
                          <w:bCs/>
                        </w:rPr>
                      </w:pPr>
                      <w:r>
                        <w:rPr>
                          <w:b/>
                          <w:bCs/>
                        </w:rPr>
                        <w:t xml:space="preserve">What is the </w:t>
                      </w:r>
                      <w:r w:rsidRPr="00BA0024">
                        <w:rPr>
                          <w:b/>
                          <w:bCs/>
                        </w:rPr>
                        <w:t>Fit for 55</w:t>
                      </w:r>
                      <w:r>
                        <w:rPr>
                          <w:b/>
                          <w:bCs/>
                        </w:rPr>
                        <w:t>?</w:t>
                      </w:r>
                    </w:p>
                    <w:p w14:paraId="3FDA6B5D" w14:textId="489694F7" w:rsidR="002E56B7" w:rsidRPr="00763E5A" w:rsidRDefault="002E56B7" w:rsidP="002E56B7">
                      <w:r w:rsidRPr="00763E5A">
                        <w:t>The Fit for 55 package is a </w:t>
                      </w:r>
                      <w:r w:rsidRPr="00763E5A">
                        <w:rPr>
                          <w:rStyle w:val="Strong"/>
                          <w:rFonts w:cstheme="minorHAnsi"/>
                        </w:rPr>
                        <w:t xml:space="preserve">set of proposals to revise and update </w:t>
                      </w:r>
                      <w:r w:rsidR="00BD3A19">
                        <w:rPr>
                          <w:rStyle w:val="Strong"/>
                          <w:rFonts w:cstheme="minorHAnsi"/>
                        </w:rPr>
                        <w:t xml:space="preserve">most of the </w:t>
                      </w:r>
                      <w:r w:rsidRPr="00763E5A">
                        <w:rPr>
                          <w:rStyle w:val="Strong"/>
                          <w:rFonts w:cstheme="minorHAnsi"/>
                        </w:rPr>
                        <w:t>EU</w:t>
                      </w:r>
                      <w:r w:rsidR="00BD3A19">
                        <w:rPr>
                          <w:rStyle w:val="Strong"/>
                          <w:rFonts w:cstheme="minorHAnsi"/>
                        </w:rPr>
                        <w:t>’s climate and energy</w:t>
                      </w:r>
                      <w:r w:rsidRPr="00763E5A">
                        <w:rPr>
                          <w:rStyle w:val="Strong"/>
                          <w:rFonts w:cstheme="minorHAnsi"/>
                        </w:rPr>
                        <w:t xml:space="preserve"> legislation</w:t>
                      </w:r>
                      <w:r w:rsidR="00774808">
                        <w:rPr>
                          <w:rStyle w:val="Strong"/>
                          <w:rFonts w:cstheme="minorHAnsi"/>
                        </w:rPr>
                        <w:t xml:space="preserve"> </w:t>
                      </w:r>
                      <w:r w:rsidR="00774808">
                        <w:t xml:space="preserve">to align it with </w:t>
                      </w:r>
                      <w:r w:rsidR="00BD3A19">
                        <w:t>its new goals set out in the European Green Deal and new climate law</w:t>
                      </w:r>
                      <w:r w:rsidRPr="00763E5A">
                        <w:t>.</w:t>
                      </w:r>
                      <w:r>
                        <w:t xml:space="preserve"> Essentially, “</w:t>
                      </w:r>
                      <w:r w:rsidRPr="00763E5A">
                        <w:t>Fit for 55</w:t>
                      </w:r>
                      <w:r>
                        <w:t>”</w:t>
                      </w:r>
                      <w:r w:rsidRPr="00763E5A">
                        <w:t xml:space="preserve"> refers to the EU’s target of reducing net greenhouse gas emissions by at least 55% by 2030​. </w:t>
                      </w:r>
                    </w:p>
                    <w:p w14:paraId="3955A57A" w14:textId="77777777" w:rsidR="002E56B7" w:rsidRPr="00BA0024" w:rsidRDefault="002E56B7" w:rsidP="002E56B7">
                      <w:pPr>
                        <w:rPr>
                          <w:b/>
                          <w:bCs/>
                        </w:rPr>
                      </w:pPr>
                      <w:r w:rsidRPr="00BA0024">
                        <w:rPr>
                          <w:b/>
                          <w:bCs/>
                        </w:rPr>
                        <w:t>Here is your guide through the important legislations:</w:t>
                      </w:r>
                    </w:p>
                    <w:p w14:paraId="25BA193B" w14:textId="0EC1B27E" w:rsidR="002E56B7" w:rsidRPr="00A82A72" w:rsidRDefault="00A82A72" w:rsidP="002E56B7">
                      <w:pPr>
                        <w:pStyle w:val="ListParagraph"/>
                        <w:numPr>
                          <w:ilvl w:val="0"/>
                          <w:numId w:val="3"/>
                        </w:numPr>
                        <w:ind w:left="0" w:firstLine="0"/>
                      </w:pPr>
                      <w:r>
                        <w:rPr>
                          <w:b/>
                          <w:bCs/>
                          <w:shd w:val="clear" w:color="auto" w:fill="FFFFFF"/>
                        </w:rPr>
                        <w:t xml:space="preserve">Revision of the </w:t>
                      </w:r>
                      <w:r w:rsidR="002E56B7" w:rsidRPr="00BA0024">
                        <w:rPr>
                          <w:b/>
                          <w:bCs/>
                          <w:shd w:val="clear" w:color="auto" w:fill="FFFFFF"/>
                        </w:rPr>
                        <w:t>EU's emissions trading system (EU ETS)</w:t>
                      </w:r>
                      <w:r w:rsidR="002E56B7">
                        <w:rPr>
                          <w:shd w:val="clear" w:color="auto" w:fill="FFFFFF"/>
                        </w:rPr>
                        <w:br/>
                      </w:r>
                      <w:r w:rsidR="002E56B7" w:rsidRPr="00BA0024">
                        <w:rPr>
                          <w:shd w:val="clear" w:color="auto" w:fill="FFFFFF"/>
                        </w:rPr>
                        <w:t>The Commission has proposed a comprehensive set of changes to the existing EU ETS that should result in an overall emission reduction in sectors concerned of </w:t>
                      </w:r>
                      <w:r w:rsidR="002E56B7" w:rsidRPr="00BA0024">
                        <w:rPr>
                          <w:rStyle w:val="Strong"/>
                          <w:rFonts w:cstheme="minorHAnsi"/>
                          <w:shd w:val="clear" w:color="auto" w:fill="FFFFFF"/>
                        </w:rPr>
                        <w:t>61% by 2030</w:t>
                      </w:r>
                      <w:r w:rsidR="002E56B7" w:rsidRPr="00BA0024">
                        <w:rPr>
                          <w:shd w:val="clear" w:color="auto" w:fill="FFFFFF"/>
                        </w:rPr>
                        <w:t> compared with 2005.</w:t>
                      </w:r>
                    </w:p>
                    <w:p w14:paraId="7B319F4F" w14:textId="2886BB4D" w:rsidR="00A82A72" w:rsidRPr="006A382E" w:rsidRDefault="006A382E" w:rsidP="00A82A72">
                      <w:pPr>
                        <w:pStyle w:val="ListParagraph"/>
                        <w:numPr>
                          <w:ilvl w:val="1"/>
                          <w:numId w:val="3"/>
                        </w:numPr>
                      </w:pPr>
                      <w:r>
                        <w:rPr>
                          <w:shd w:val="clear" w:color="auto" w:fill="FFFFFF"/>
                        </w:rPr>
                        <w:t>Within the revision, t</w:t>
                      </w:r>
                      <w:r w:rsidR="00A82A72" w:rsidRPr="00A82A72">
                        <w:rPr>
                          <w:shd w:val="clear" w:color="auto" w:fill="FFFFFF"/>
                        </w:rPr>
                        <w:t xml:space="preserve">he Commission has suggested the </w:t>
                      </w:r>
                      <w:r w:rsidR="00A82A72">
                        <w:rPr>
                          <w:shd w:val="clear" w:color="auto" w:fill="FFFFFF"/>
                        </w:rPr>
                        <w:t>creation of a new separate ETS</w:t>
                      </w:r>
                      <w:r w:rsidR="00A82A72" w:rsidRPr="00A82A72">
                        <w:rPr>
                          <w:shd w:val="clear" w:color="auto" w:fill="FFFFFF"/>
                        </w:rPr>
                        <w:t xml:space="preserve"> </w:t>
                      </w:r>
                      <w:r w:rsidR="00A82A72">
                        <w:rPr>
                          <w:shd w:val="clear" w:color="auto" w:fill="FFFFFF"/>
                        </w:rPr>
                        <w:t>to cover road</w:t>
                      </w:r>
                      <w:r w:rsidR="00A82A72" w:rsidRPr="00A82A72">
                        <w:rPr>
                          <w:shd w:val="clear" w:color="auto" w:fill="FFFFFF"/>
                        </w:rPr>
                        <w:t xml:space="preserve"> transport and buildings sector</w:t>
                      </w:r>
                      <w:r w:rsidR="00A82A72">
                        <w:rPr>
                          <w:shd w:val="clear" w:color="auto" w:fill="FFFFFF"/>
                        </w:rPr>
                        <w:t>.</w:t>
                      </w:r>
                    </w:p>
                    <w:p w14:paraId="65866444" w14:textId="77777777" w:rsidR="006A382E" w:rsidRPr="00A82A72" w:rsidRDefault="006A382E" w:rsidP="006A382E">
                      <w:pPr>
                        <w:pStyle w:val="ListParagraph"/>
                        <w:ind w:left="1080"/>
                      </w:pPr>
                    </w:p>
                    <w:p w14:paraId="5D3D214A" w14:textId="77777777" w:rsidR="006A382E" w:rsidRPr="006A382E" w:rsidRDefault="006A382E" w:rsidP="00A82A72">
                      <w:pPr>
                        <w:pStyle w:val="ListParagraph"/>
                        <w:numPr>
                          <w:ilvl w:val="0"/>
                          <w:numId w:val="3"/>
                        </w:numPr>
                        <w:rPr>
                          <w:b/>
                          <w:bCs/>
                        </w:rPr>
                      </w:pPr>
                      <w:r w:rsidRPr="006A382E">
                        <w:rPr>
                          <w:b/>
                          <w:bCs/>
                        </w:rPr>
                        <w:t>Emissions Trading system for aviation</w:t>
                      </w:r>
                    </w:p>
                    <w:p w14:paraId="6F66B317" w14:textId="4A91FF1A" w:rsidR="002E56B7" w:rsidRPr="00763E5A" w:rsidRDefault="006A382E" w:rsidP="006A382E">
                      <w:r w:rsidRPr="006A382E">
                        <w:t>The Commission has proposed to phase out</w:t>
                      </w:r>
                      <w:r>
                        <w:t xml:space="preserve"> the sector’s</w:t>
                      </w:r>
                      <w:r w:rsidRPr="006A382E">
                        <w:t xml:space="preserve"> free allocation of EU Allowances for the aviation sector by 2027.</w:t>
                      </w:r>
                      <w:r>
                        <w:t xml:space="preserve"> </w:t>
                      </w:r>
                      <w:r w:rsidRPr="006A382E">
                        <w:t>The Commission proposes that flights within the European Economic Area (EEA) continue to be covered by the EU ETS, as well as flights to Switzerland and the UK.</w:t>
                      </w:r>
                    </w:p>
                    <w:p w14:paraId="51F15E35" w14:textId="77777777" w:rsidR="002E56B7" w:rsidRDefault="002E56B7" w:rsidP="002E56B7">
                      <w:pPr>
                        <w:pStyle w:val="ListParagraph"/>
                        <w:numPr>
                          <w:ilvl w:val="0"/>
                          <w:numId w:val="3"/>
                        </w:numPr>
                        <w:tabs>
                          <w:tab w:val="left" w:pos="0"/>
                        </w:tabs>
                        <w:ind w:left="0" w:firstLine="0"/>
                        <w:rPr>
                          <w:rFonts w:eastAsia="Times New Roman"/>
                        </w:rPr>
                      </w:pPr>
                      <w:r w:rsidRPr="00BA0024">
                        <w:rPr>
                          <w:rFonts w:eastAsia="Times New Roman"/>
                          <w:b/>
                          <w:bCs/>
                        </w:rPr>
                        <w:t>Renewable Energy Directive (RED)</w:t>
                      </w:r>
                      <w:r>
                        <w:rPr>
                          <w:rFonts w:eastAsia="Times New Roman"/>
                        </w:rPr>
                        <w:br/>
                      </w:r>
                      <w:r w:rsidRPr="00BA0024">
                        <w:rPr>
                          <w:rFonts w:eastAsia="Times New Roman"/>
                        </w:rPr>
                        <w:t>The proposal is to increase the current EU-level target of at least 32% of renewable energy sources in the overall energy mix to at least 40% by 2030.</w:t>
                      </w:r>
                    </w:p>
                    <w:p w14:paraId="33B803FA" w14:textId="77777777" w:rsidR="002E56B7" w:rsidRPr="00BA0024" w:rsidRDefault="002E56B7" w:rsidP="002E56B7">
                      <w:pPr>
                        <w:pStyle w:val="ListParagraph"/>
                        <w:tabs>
                          <w:tab w:val="left" w:pos="0"/>
                        </w:tabs>
                        <w:ind w:left="0"/>
                        <w:rPr>
                          <w:rFonts w:eastAsia="Times New Roman"/>
                        </w:rPr>
                      </w:pPr>
                    </w:p>
                    <w:p w14:paraId="357D56CD" w14:textId="77777777" w:rsidR="002E56B7" w:rsidRDefault="002E56B7" w:rsidP="002E56B7">
                      <w:pPr>
                        <w:pStyle w:val="ListParagraph"/>
                        <w:numPr>
                          <w:ilvl w:val="0"/>
                          <w:numId w:val="3"/>
                        </w:numPr>
                        <w:ind w:left="0" w:firstLine="0"/>
                      </w:pPr>
                      <w:r w:rsidRPr="00BA0024">
                        <w:rPr>
                          <w:b/>
                          <w:bCs/>
                        </w:rPr>
                        <w:t>Energy Efficiency Directive (EED)</w:t>
                      </w:r>
                      <w:r>
                        <w:br/>
                      </w:r>
                      <w:r w:rsidRPr="00BA0024">
                        <w:t>The Commission has proposed to revise the current energy efficiency directive by increasing the current EU-level target for energy efficiency </w:t>
                      </w:r>
                      <w:r w:rsidRPr="00BA0024">
                        <w:rPr>
                          <w:rStyle w:val="Strong"/>
                          <w:rFonts w:cstheme="minorHAnsi"/>
                        </w:rPr>
                        <w:t>from 32.5% to 36%</w:t>
                      </w:r>
                      <w:r w:rsidRPr="00BA0024">
                        <w:t> for final, and </w:t>
                      </w:r>
                      <w:r w:rsidRPr="00BA0024">
                        <w:rPr>
                          <w:rStyle w:val="Strong"/>
                          <w:rFonts w:cstheme="minorHAnsi"/>
                        </w:rPr>
                        <w:t>39%</w:t>
                      </w:r>
                      <w:r w:rsidRPr="00BA0024">
                        <w:t xml:space="preserve"> for primary energy consumption. In addition, it put forward several provisions to accelerate energy efficiency efforts by member states, such as increased annual energy savings obligations and new rules </w:t>
                      </w:r>
                      <w:r>
                        <w:t>to decrease</w:t>
                      </w:r>
                      <w:r w:rsidRPr="00BA0024">
                        <w:t xml:space="preserve"> the energy consumption of public sector buildings</w:t>
                      </w:r>
                      <w:r>
                        <w:t>.</w:t>
                      </w:r>
                    </w:p>
                    <w:p w14:paraId="2477CD2B" w14:textId="77777777" w:rsidR="002E56B7" w:rsidRPr="00BA0024" w:rsidRDefault="002E56B7" w:rsidP="002E56B7">
                      <w:pPr>
                        <w:pStyle w:val="ListParagraph"/>
                        <w:ind w:left="0"/>
                      </w:pPr>
                    </w:p>
                    <w:p w14:paraId="2306A42B" w14:textId="33836024" w:rsidR="002E56B7" w:rsidRPr="00BA0024" w:rsidRDefault="002E56B7" w:rsidP="002E56B7">
                      <w:pPr>
                        <w:pStyle w:val="ListParagraph"/>
                        <w:numPr>
                          <w:ilvl w:val="0"/>
                          <w:numId w:val="3"/>
                        </w:numPr>
                        <w:ind w:left="0" w:firstLine="0"/>
                        <w:rPr>
                          <w:lang w:val="fr-FR"/>
                        </w:rPr>
                      </w:pPr>
                      <w:r w:rsidRPr="00BA0024">
                        <w:rPr>
                          <w:b/>
                          <w:bCs/>
                        </w:rPr>
                        <w:t>Alternative infrastructure Regulation (AFIR)</w:t>
                      </w:r>
                      <w:r>
                        <w:br/>
                      </w:r>
                      <w:r w:rsidRPr="00763E5A">
                        <w:t xml:space="preserve">This </w:t>
                      </w:r>
                      <w:r>
                        <w:t>proposal aims</w:t>
                      </w:r>
                      <w:r w:rsidRPr="00763E5A">
                        <w:t xml:space="preserve"> to accelerate the deployment of infrastructure </w:t>
                      </w:r>
                      <w:r w:rsidRPr="00BA0024">
                        <w:t xml:space="preserve">fuels </w:t>
                      </w:r>
                      <w:r w:rsidRPr="00763E5A">
                        <w:t>for recharging or refueling vehicles with alternative fuels and to provide alternative power supply for ships in ports and stationary aircraft.</w:t>
                      </w:r>
                      <w:r>
                        <w:t xml:space="preserve"> </w:t>
                      </w:r>
                      <w:r w:rsidRPr="00763E5A">
                        <w:t>The proposal concerns all modes of transport and includes targets for infrastructure deployment. It also tackles interoperability and improves user friendliness.</w:t>
                      </w:r>
                    </w:p>
                    <w:p w14:paraId="36923A83" w14:textId="77777777" w:rsidR="002E56B7" w:rsidRPr="00957ADC" w:rsidRDefault="002E56B7" w:rsidP="002E56B7">
                      <w:pPr>
                        <w:pStyle w:val="ListParagraph"/>
                        <w:ind w:left="0"/>
                      </w:pPr>
                    </w:p>
                    <w:p w14:paraId="22DB9500" w14:textId="6871B8A6" w:rsidR="002E56B7" w:rsidRPr="002E56B7" w:rsidRDefault="002E56B7" w:rsidP="002E56B7">
                      <w:pPr>
                        <w:pStyle w:val="ListParagraph"/>
                        <w:numPr>
                          <w:ilvl w:val="0"/>
                          <w:numId w:val="3"/>
                        </w:numPr>
                        <w:tabs>
                          <w:tab w:val="left" w:pos="90"/>
                        </w:tabs>
                        <w:spacing w:before="240"/>
                        <w:ind w:left="0" w:firstLine="0"/>
                        <w:rPr>
                          <w:b/>
                          <w:bCs/>
                        </w:rPr>
                      </w:pPr>
                      <w:proofErr w:type="spellStart"/>
                      <w:r w:rsidRPr="00CD3809">
                        <w:rPr>
                          <w:b/>
                          <w:bCs/>
                        </w:rPr>
                        <w:t>ReFuelEU</w:t>
                      </w:r>
                      <w:proofErr w:type="spellEnd"/>
                      <w:r w:rsidRPr="00CD3809">
                        <w:rPr>
                          <w:b/>
                          <w:bCs/>
                        </w:rPr>
                        <w:t xml:space="preserve"> Aviation initiative</w:t>
                      </w:r>
                      <w:r w:rsidRPr="007E7C7D">
                        <w:rPr>
                          <w:b/>
                          <w:bCs/>
                        </w:rPr>
                        <w:t xml:space="preserve"> (Sustainable Aviation Fuels Initiative</w:t>
                      </w:r>
                      <w:r>
                        <w:rPr>
                          <w:b/>
                          <w:bCs/>
                        </w:rPr>
                        <w:t>)</w:t>
                      </w:r>
                      <w:r>
                        <w:rPr>
                          <w:b/>
                          <w:bCs/>
                        </w:rPr>
                        <w:br/>
                      </w:r>
                      <w:proofErr w:type="spellStart"/>
                      <w:r w:rsidRPr="007E7C7D">
                        <w:rPr>
                          <w:rFonts w:cstheme="minorHAnsi"/>
                        </w:rPr>
                        <w:t>ReFuelEU</w:t>
                      </w:r>
                      <w:proofErr w:type="spellEnd"/>
                      <w:r w:rsidRPr="007E7C7D">
                        <w:rPr>
                          <w:rFonts w:cstheme="minorHAnsi"/>
                        </w:rPr>
                        <w:t xml:space="preserve"> Aviation </w:t>
                      </w:r>
                      <w:r>
                        <w:rPr>
                          <w:rFonts w:cstheme="minorHAnsi"/>
                        </w:rPr>
                        <w:t>s</w:t>
                      </w:r>
                      <w:r w:rsidRPr="007E7C7D">
                        <w:rPr>
                          <w:rFonts w:cstheme="minorHAnsi"/>
                        </w:rPr>
                        <w:t>ets targets for the use of sustainable aviation fuels (SAFs) and synthetic fuels and provides guidance on which fuels can be considered sustainable, thereby influencing the supply and demand for SAFs in the EU and reducing the environmental footprint of aviation.</w:t>
                      </w:r>
                    </w:p>
                    <w:p w14:paraId="051B8A4A" w14:textId="3DAEFFD9" w:rsidR="002E56B7" w:rsidRDefault="002E56B7"/>
                  </w:txbxContent>
                </v:textbox>
                <w10:wrap type="square"/>
              </v:shape>
            </w:pict>
          </mc:Fallback>
        </mc:AlternateContent>
      </w:r>
      <w:r w:rsidR="00E82BB8" w:rsidRPr="00BA0024">
        <w:rPr>
          <w:b/>
          <w:bCs/>
          <w:sz w:val="28"/>
          <w:szCs w:val="28"/>
        </w:rPr>
        <w:t xml:space="preserve">Glossary </w:t>
      </w:r>
      <w:r>
        <w:rPr>
          <w:b/>
          <w:bCs/>
          <w:sz w:val="28"/>
          <w:szCs w:val="28"/>
        </w:rPr>
        <w:t>– GBTA monthly newsletter</w:t>
      </w:r>
    </w:p>
    <w:p w14:paraId="35B49793" w14:textId="77777777" w:rsidR="002E56B7" w:rsidRDefault="002E56B7" w:rsidP="006A382E">
      <w:pPr>
        <w:pStyle w:val="ListParagraph"/>
        <w:tabs>
          <w:tab w:val="left" w:pos="90"/>
        </w:tabs>
        <w:ind w:left="0"/>
        <w:jc w:val="both"/>
        <w:rPr>
          <w:b/>
          <w:bCs/>
        </w:rPr>
      </w:pPr>
    </w:p>
    <w:p w14:paraId="2646378E" w14:textId="77777777" w:rsidR="00DE0FBF" w:rsidRDefault="000D688A" w:rsidP="006A382E">
      <w:pPr>
        <w:pStyle w:val="ListParagraph"/>
        <w:tabs>
          <w:tab w:val="left" w:pos="90"/>
        </w:tabs>
        <w:ind w:left="0"/>
        <w:jc w:val="both"/>
        <w:rPr>
          <w:b/>
          <w:bCs/>
        </w:rPr>
      </w:pPr>
      <w:r>
        <w:rPr>
          <w:b/>
          <w:bCs/>
        </w:rPr>
        <w:lastRenderedPageBreak/>
        <w:t>To really become a pro in EU politics, here is your</w:t>
      </w:r>
      <w:r w:rsidR="002E56B7">
        <w:rPr>
          <w:b/>
          <w:bCs/>
        </w:rPr>
        <w:t xml:space="preserve"> guide </w:t>
      </w:r>
      <w:r w:rsidR="00DE0FBF">
        <w:rPr>
          <w:b/>
          <w:bCs/>
        </w:rPr>
        <w:t>navigating you through the EU jargon, or the language used across institutions:</w:t>
      </w:r>
    </w:p>
    <w:p w14:paraId="619ABA36" w14:textId="72D73742" w:rsidR="00084FB6" w:rsidRPr="00DE0FBF" w:rsidRDefault="00084FB6" w:rsidP="006A382E">
      <w:pPr>
        <w:pStyle w:val="ListParagraph"/>
        <w:numPr>
          <w:ilvl w:val="0"/>
          <w:numId w:val="10"/>
        </w:numPr>
        <w:tabs>
          <w:tab w:val="left" w:pos="90"/>
        </w:tabs>
        <w:jc w:val="both"/>
        <w:rPr>
          <w:b/>
          <w:bCs/>
        </w:rPr>
      </w:pPr>
      <w:r w:rsidRPr="00DE0FBF">
        <w:rPr>
          <w:b/>
          <w:bCs/>
        </w:rPr>
        <w:t xml:space="preserve">EP: </w:t>
      </w:r>
      <w:r>
        <w:t>European Parliament</w:t>
      </w:r>
    </w:p>
    <w:p w14:paraId="456FDDC1" w14:textId="1AE55F71" w:rsidR="00084FB6" w:rsidRDefault="00084FB6" w:rsidP="006A382E">
      <w:pPr>
        <w:pStyle w:val="ListParagraph"/>
        <w:numPr>
          <w:ilvl w:val="0"/>
          <w:numId w:val="5"/>
        </w:numPr>
        <w:tabs>
          <w:tab w:val="left" w:pos="90"/>
        </w:tabs>
        <w:jc w:val="both"/>
        <w:rPr>
          <w:b/>
          <w:bCs/>
        </w:rPr>
      </w:pPr>
      <w:r>
        <w:rPr>
          <w:b/>
          <w:bCs/>
        </w:rPr>
        <w:t>MEP:</w:t>
      </w:r>
      <w:r w:rsidR="00335C6E">
        <w:rPr>
          <w:b/>
          <w:bCs/>
        </w:rPr>
        <w:t xml:space="preserve"> </w:t>
      </w:r>
      <w:r w:rsidR="00335C6E">
        <w:t>Member of the European Parliament</w:t>
      </w:r>
    </w:p>
    <w:p w14:paraId="7E7AE7E1" w14:textId="44E013AA" w:rsidR="00084FB6" w:rsidRDefault="00084FB6" w:rsidP="006A382E">
      <w:pPr>
        <w:pStyle w:val="ListParagraph"/>
        <w:numPr>
          <w:ilvl w:val="0"/>
          <w:numId w:val="5"/>
        </w:numPr>
        <w:tabs>
          <w:tab w:val="left" w:pos="90"/>
        </w:tabs>
        <w:jc w:val="both"/>
        <w:rPr>
          <w:b/>
          <w:bCs/>
        </w:rPr>
      </w:pPr>
      <w:r>
        <w:rPr>
          <w:b/>
          <w:bCs/>
        </w:rPr>
        <w:t>Rapporteur:</w:t>
      </w:r>
      <w:r w:rsidR="00335C6E">
        <w:t xml:space="preserve"> MEP </w:t>
      </w:r>
      <w:r w:rsidR="00DE0FBF">
        <w:t>responsible for the</w:t>
      </w:r>
      <w:r w:rsidR="00335C6E" w:rsidRPr="00335C6E">
        <w:t xml:space="preserve"> </w:t>
      </w:r>
      <w:r w:rsidR="00335C6E">
        <w:t>draft</w:t>
      </w:r>
      <w:r w:rsidR="00DE0FBF">
        <w:t>ing of a</w:t>
      </w:r>
      <w:r w:rsidR="00335C6E">
        <w:t xml:space="preserve"> </w:t>
      </w:r>
      <w:r w:rsidR="00335C6E" w:rsidRPr="00335C6E">
        <w:t>report</w:t>
      </w:r>
      <w:r w:rsidR="00335C6E">
        <w:t xml:space="preserve"> on a legislative proposal from the Commission</w:t>
      </w:r>
      <w:r w:rsidR="00335C6E" w:rsidRPr="00335C6E">
        <w:t xml:space="preserve"> on behalf</w:t>
      </w:r>
      <w:r w:rsidR="00335C6E">
        <w:t xml:space="preserve"> of its committee</w:t>
      </w:r>
      <w:r w:rsidR="00335C6E" w:rsidRPr="00335C6E">
        <w:t>.</w:t>
      </w:r>
    </w:p>
    <w:p w14:paraId="38B9A6C1" w14:textId="0FB3DD14" w:rsidR="00084FB6" w:rsidRPr="00335C6E" w:rsidRDefault="00084FB6" w:rsidP="006A382E">
      <w:pPr>
        <w:pStyle w:val="ListParagraph"/>
        <w:numPr>
          <w:ilvl w:val="0"/>
          <w:numId w:val="5"/>
        </w:numPr>
        <w:tabs>
          <w:tab w:val="left" w:pos="90"/>
        </w:tabs>
        <w:jc w:val="both"/>
      </w:pPr>
      <w:r>
        <w:rPr>
          <w:b/>
          <w:bCs/>
        </w:rPr>
        <w:t>Shadow Rapporteur:</w:t>
      </w:r>
      <w:r w:rsidR="00335C6E">
        <w:t xml:space="preserve"> MEP nominated by its political group to coordinate their position on a legislative proposal within the committee.</w:t>
      </w:r>
    </w:p>
    <w:p w14:paraId="6169B5C6" w14:textId="4C33CF91" w:rsidR="0035207F" w:rsidRDefault="0035207F" w:rsidP="006A382E">
      <w:pPr>
        <w:pStyle w:val="ListParagraph"/>
        <w:numPr>
          <w:ilvl w:val="0"/>
          <w:numId w:val="8"/>
        </w:numPr>
        <w:tabs>
          <w:tab w:val="left" w:pos="90"/>
        </w:tabs>
        <w:jc w:val="both"/>
      </w:pPr>
      <w:r w:rsidRPr="0035207F">
        <w:rPr>
          <w:b/>
          <w:bCs/>
        </w:rPr>
        <w:t>Committee</w:t>
      </w:r>
      <w:r>
        <w:t>: MEPs are members of one or more committees within the EP. The most important committees for GBTA are:</w:t>
      </w:r>
    </w:p>
    <w:p w14:paraId="2F6F4FC3" w14:textId="0588F7FF" w:rsidR="0035207F" w:rsidRDefault="0035207F" w:rsidP="006A382E">
      <w:pPr>
        <w:pStyle w:val="ListParagraph"/>
        <w:numPr>
          <w:ilvl w:val="1"/>
          <w:numId w:val="8"/>
        </w:numPr>
        <w:tabs>
          <w:tab w:val="left" w:pos="90"/>
        </w:tabs>
        <w:jc w:val="both"/>
      </w:pPr>
      <w:r w:rsidRPr="0035207F">
        <w:rPr>
          <w:b/>
          <w:bCs/>
        </w:rPr>
        <w:t>ENVI</w:t>
      </w:r>
      <w:r>
        <w:t xml:space="preserve">: Environment, Public </w:t>
      </w:r>
      <w:proofErr w:type="gramStart"/>
      <w:r>
        <w:t>Health</w:t>
      </w:r>
      <w:proofErr w:type="gramEnd"/>
      <w:r>
        <w:t xml:space="preserve"> and Food Safety</w:t>
      </w:r>
    </w:p>
    <w:p w14:paraId="5C53B5B8" w14:textId="20EB9F73" w:rsidR="0035207F" w:rsidRDefault="0035207F" w:rsidP="006A382E">
      <w:pPr>
        <w:pStyle w:val="ListParagraph"/>
        <w:numPr>
          <w:ilvl w:val="1"/>
          <w:numId w:val="8"/>
        </w:numPr>
        <w:tabs>
          <w:tab w:val="left" w:pos="90"/>
        </w:tabs>
        <w:jc w:val="both"/>
      </w:pPr>
      <w:r w:rsidRPr="0035207F">
        <w:rPr>
          <w:b/>
          <w:bCs/>
        </w:rPr>
        <w:t>ITRE</w:t>
      </w:r>
      <w:r>
        <w:t>: Industry, Research and Energy</w:t>
      </w:r>
    </w:p>
    <w:p w14:paraId="126F316F" w14:textId="729EABDA" w:rsidR="0035207F" w:rsidRDefault="0035207F" w:rsidP="006A382E">
      <w:pPr>
        <w:pStyle w:val="ListParagraph"/>
        <w:numPr>
          <w:ilvl w:val="1"/>
          <w:numId w:val="8"/>
        </w:numPr>
        <w:tabs>
          <w:tab w:val="left" w:pos="90"/>
        </w:tabs>
        <w:jc w:val="both"/>
      </w:pPr>
      <w:r w:rsidRPr="0035207F">
        <w:rPr>
          <w:b/>
          <w:bCs/>
        </w:rPr>
        <w:t>TRAN</w:t>
      </w:r>
      <w:r>
        <w:t>: Transport and Tourism</w:t>
      </w:r>
    </w:p>
    <w:p w14:paraId="4EC81DC7" w14:textId="7E8BC9C0" w:rsidR="0035207F" w:rsidRDefault="0035207F" w:rsidP="006A382E">
      <w:pPr>
        <w:pStyle w:val="ListParagraph"/>
        <w:numPr>
          <w:ilvl w:val="1"/>
          <w:numId w:val="8"/>
        </w:numPr>
        <w:tabs>
          <w:tab w:val="left" w:pos="90"/>
        </w:tabs>
        <w:jc w:val="both"/>
      </w:pPr>
      <w:r w:rsidRPr="0035207F">
        <w:rPr>
          <w:b/>
          <w:bCs/>
        </w:rPr>
        <w:t>ECON</w:t>
      </w:r>
      <w:r>
        <w:t>: Economic and Monetary Affairs</w:t>
      </w:r>
    </w:p>
    <w:p w14:paraId="6E2B4CCF" w14:textId="65584A2B" w:rsidR="0035207F" w:rsidRDefault="0035207F" w:rsidP="006A382E">
      <w:pPr>
        <w:pStyle w:val="ListParagraph"/>
        <w:numPr>
          <w:ilvl w:val="0"/>
          <w:numId w:val="8"/>
        </w:numPr>
        <w:tabs>
          <w:tab w:val="left" w:pos="90"/>
        </w:tabs>
        <w:jc w:val="both"/>
      </w:pPr>
      <w:r w:rsidRPr="0035207F">
        <w:rPr>
          <w:b/>
          <w:bCs/>
        </w:rPr>
        <w:t>Regulation</w:t>
      </w:r>
      <w:r>
        <w:t>: A legislative act of general application and binding in all its elements. It is directly applicable in all Member States.</w:t>
      </w:r>
    </w:p>
    <w:p w14:paraId="0E2E8229" w14:textId="4D7C5B96" w:rsidR="0035207F" w:rsidRDefault="0035207F" w:rsidP="006A382E">
      <w:pPr>
        <w:pStyle w:val="ListParagraph"/>
        <w:numPr>
          <w:ilvl w:val="0"/>
          <w:numId w:val="8"/>
        </w:numPr>
        <w:tabs>
          <w:tab w:val="left" w:pos="90"/>
        </w:tabs>
        <w:jc w:val="both"/>
      </w:pPr>
      <w:r w:rsidRPr="0035207F">
        <w:rPr>
          <w:b/>
          <w:bCs/>
        </w:rPr>
        <w:t>Directive</w:t>
      </w:r>
      <w:r>
        <w:t xml:space="preserve">: A legislative </w:t>
      </w:r>
      <w:proofErr w:type="gramStart"/>
      <w:r>
        <w:t>act</w:t>
      </w:r>
      <w:proofErr w:type="gramEnd"/>
      <w:r>
        <w:t xml:space="preserve"> which is binding, as to the result to be achieved, upon each Member State to which it is addressed. However, it leaves to the national authorities the choice of form and methods to achieve the desired result.</w:t>
      </w:r>
    </w:p>
    <w:p w14:paraId="33C69515" w14:textId="16DBB592" w:rsidR="0035207F" w:rsidRDefault="0035207F" w:rsidP="006A382E">
      <w:pPr>
        <w:pStyle w:val="ListParagraph"/>
        <w:numPr>
          <w:ilvl w:val="0"/>
          <w:numId w:val="8"/>
        </w:numPr>
        <w:tabs>
          <w:tab w:val="left" w:pos="90"/>
        </w:tabs>
        <w:jc w:val="both"/>
      </w:pPr>
      <w:r w:rsidRPr="0035207F">
        <w:rPr>
          <w:b/>
          <w:bCs/>
        </w:rPr>
        <w:t>General approach</w:t>
      </w:r>
      <w:r>
        <w:t>: political agreement on a Commission legislative proposal adopted by the Member States in the Council.</w:t>
      </w:r>
    </w:p>
    <w:p w14:paraId="645209D6" w14:textId="30B05087" w:rsidR="0035207F" w:rsidRDefault="0035207F" w:rsidP="006A382E">
      <w:pPr>
        <w:pStyle w:val="ListParagraph"/>
        <w:numPr>
          <w:ilvl w:val="0"/>
          <w:numId w:val="8"/>
        </w:numPr>
        <w:tabs>
          <w:tab w:val="left" w:pos="90"/>
        </w:tabs>
        <w:jc w:val="both"/>
      </w:pPr>
      <w:proofErr w:type="spellStart"/>
      <w:r w:rsidRPr="0035207F">
        <w:rPr>
          <w:b/>
          <w:bCs/>
        </w:rPr>
        <w:t>Trilogue</w:t>
      </w:r>
      <w:proofErr w:type="spellEnd"/>
      <w:r w:rsidRPr="0035207F">
        <w:rPr>
          <w:b/>
          <w:bCs/>
        </w:rPr>
        <w:t xml:space="preserve"> negotiations</w:t>
      </w:r>
      <w:r>
        <w:t xml:space="preserve">: meetings on legislative proposals between representatives of the European Parliament, the </w:t>
      </w:r>
      <w:proofErr w:type="gramStart"/>
      <w:r>
        <w:t>Council</w:t>
      </w:r>
      <w:proofErr w:type="gramEnd"/>
      <w:r>
        <w:t xml:space="preserve"> and the Commission. </w:t>
      </w:r>
      <w:proofErr w:type="spellStart"/>
      <w:r>
        <w:t>Trilogues</w:t>
      </w:r>
      <w:proofErr w:type="spellEnd"/>
      <w:r>
        <w:t xml:space="preserve"> usually follow the publication of the General Approach (Council position) and the Parliament's agreed position. Once these two documents are available, this paves the way for inter-institutional negotiations, or </w:t>
      </w:r>
      <w:proofErr w:type="spellStart"/>
      <w:r>
        <w:t>trilogues</w:t>
      </w:r>
      <w:proofErr w:type="spellEnd"/>
      <w:r>
        <w:t>.</w:t>
      </w:r>
    </w:p>
    <w:p w14:paraId="03EC6999" w14:textId="36CD7570" w:rsidR="006A382E" w:rsidRDefault="006A382E" w:rsidP="006A382E">
      <w:pPr>
        <w:pStyle w:val="ListParagraph"/>
        <w:tabs>
          <w:tab w:val="left" w:pos="90"/>
        </w:tabs>
        <w:ind w:left="0"/>
        <w:jc w:val="both"/>
      </w:pPr>
    </w:p>
    <w:p w14:paraId="031F07BB" w14:textId="27D10579" w:rsidR="00AA3533" w:rsidRDefault="00AA3533" w:rsidP="006A382E">
      <w:pPr>
        <w:pStyle w:val="ListParagraph"/>
        <w:tabs>
          <w:tab w:val="left" w:pos="90"/>
        </w:tabs>
        <w:ind w:left="0"/>
        <w:jc w:val="both"/>
        <w:rPr>
          <w:b/>
          <w:bCs/>
        </w:rPr>
      </w:pPr>
      <w:r w:rsidRPr="00AA3533">
        <w:rPr>
          <w:b/>
          <w:bCs/>
        </w:rPr>
        <w:t>Explaining the EU legislative process</w:t>
      </w:r>
      <w:r>
        <w:rPr>
          <w:b/>
          <w:bCs/>
        </w:rPr>
        <w:t xml:space="preserve"> in a nutshell</w:t>
      </w:r>
      <w:r w:rsidRPr="00AA3533">
        <w:rPr>
          <w:b/>
          <w:bCs/>
        </w:rPr>
        <w:t>:</w:t>
      </w:r>
    </w:p>
    <w:p w14:paraId="18CBA8FC" w14:textId="3B8D8794" w:rsidR="006A1718" w:rsidRDefault="006A1718" w:rsidP="006A382E">
      <w:pPr>
        <w:pStyle w:val="ListParagraph"/>
        <w:tabs>
          <w:tab w:val="left" w:pos="90"/>
        </w:tabs>
        <w:ind w:left="0"/>
        <w:jc w:val="both"/>
        <w:rPr>
          <w:b/>
          <w:bCs/>
        </w:rPr>
      </w:pPr>
    </w:p>
    <w:p w14:paraId="73180B32" w14:textId="3F9706EB" w:rsidR="006A1718" w:rsidRPr="00AA3533" w:rsidRDefault="00D81E33" w:rsidP="006A382E">
      <w:pPr>
        <w:pStyle w:val="ListParagraph"/>
        <w:tabs>
          <w:tab w:val="left" w:pos="90"/>
        </w:tabs>
        <w:ind w:left="0"/>
        <w:jc w:val="both"/>
        <w:rPr>
          <w:b/>
          <w:bCs/>
        </w:rPr>
      </w:pPr>
      <w:r>
        <w:rPr>
          <w:b/>
          <w:bCs/>
          <w:noProof/>
        </w:rPr>
        <w:drawing>
          <wp:anchor distT="0" distB="0" distL="114300" distR="114300" simplePos="0" relativeHeight="251662336" behindDoc="1" locked="0" layoutInCell="1" allowOverlap="1" wp14:anchorId="3DCDDAAA" wp14:editId="1FF12A28">
            <wp:simplePos x="0" y="0"/>
            <wp:positionH relativeFrom="margin">
              <wp:align>center</wp:align>
            </wp:positionH>
            <wp:positionV relativeFrom="paragraph">
              <wp:posOffset>184150</wp:posOffset>
            </wp:positionV>
            <wp:extent cx="6178550" cy="2476500"/>
            <wp:effectExtent l="38100" t="0" r="12700" b="38100"/>
            <wp:wrapTight wrapText="bothSides">
              <wp:wrapPolygon edited="0">
                <wp:start x="-67" y="0"/>
                <wp:lineTo x="-133" y="4985"/>
                <wp:lineTo x="1332" y="5317"/>
                <wp:lineTo x="1332" y="10468"/>
                <wp:lineTo x="2731" y="10634"/>
                <wp:lineTo x="2731" y="15951"/>
                <wp:lineTo x="4196" y="18609"/>
                <wp:lineTo x="4262" y="21766"/>
                <wp:lineTo x="21578" y="21766"/>
                <wp:lineTo x="21578" y="17114"/>
                <wp:lineTo x="21378" y="16615"/>
                <wp:lineTo x="20246" y="15951"/>
                <wp:lineTo x="20379" y="11797"/>
                <wp:lineTo x="19979" y="11132"/>
                <wp:lineTo x="18581" y="10634"/>
                <wp:lineTo x="18847" y="8142"/>
                <wp:lineTo x="18914" y="6314"/>
                <wp:lineTo x="18514" y="5483"/>
                <wp:lineTo x="17382" y="5317"/>
                <wp:lineTo x="17316" y="0"/>
                <wp:lineTo x="-67" y="0"/>
              </wp:wrapPolygon>
            </wp:wrapTight>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14:paraId="021D7203" w14:textId="77777777" w:rsidR="00AA3533" w:rsidRDefault="00AA3533" w:rsidP="006A382E">
      <w:pPr>
        <w:pStyle w:val="ListParagraph"/>
        <w:tabs>
          <w:tab w:val="left" w:pos="90"/>
        </w:tabs>
        <w:ind w:left="0"/>
        <w:jc w:val="both"/>
        <w:rPr>
          <w:b/>
          <w:bCs/>
        </w:rPr>
      </w:pPr>
    </w:p>
    <w:p w14:paraId="37C4AB35" w14:textId="18C60E88" w:rsidR="006A382E" w:rsidRDefault="00F930FB" w:rsidP="006A382E">
      <w:pPr>
        <w:pStyle w:val="ListParagraph"/>
        <w:tabs>
          <w:tab w:val="left" w:pos="90"/>
        </w:tabs>
        <w:ind w:left="0"/>
        <w:jc w:val="both"/>
        <w:rPr>
          <w:b/>
          <w:bCs/>
        </w:rPr>
      </w:pPr>
      <w:r>
        <w:rPr>
          <w:noProof/>
        </w:rPr>
        <mc:AlternateContent>
          <mc:Choice Requires="wps">
            <w:drawing>
              <wp:anchor distT="0" distB="0" distL="114300" distR="114300" simplePos="0" relativeHeight="251661312" behindDoc="0" locked="0" layoutInCell="1" allowOverlap="1" wp14:anchorId="36EA422B" wp14:editId="43038427">
                <wp:simplePos x="0" y="0"/>
                <wp:positionH relativeFrom="column">
                  <wp:posOffset>2311400</wp:posOffset>
                </wp:positionH>
                <wp:positionV relativeFrom="paragraph">
                  <wp:posOffset>3130550</wp:posOffset>
                </wp:positionV>
                <wp:extent cx="1240668" cy="1240668"/>
                <wp:effectExtent l="0" t="0" r="0" b="55245"/>
                <wp:wrapNone/>
                <wp:docPr id="3" name="Arc 3"/>
                <wp:cNvGraphicFramePr/>
                <a:graphic xmlns:a="http://schemas.openxmlformats.org/drawingml/2006/main">
                  <a:graphicData uri="http://schemas.microsoft.com/office/word/2010/wordprocessingShape">
                    <wps:wsp>
                      <wps:cNvSpPr/>
                      <wps:spPr>
                        <a:xfrm>
                          <a:off x="0" y="0"/>
                          <a:ext cx="1240668" cy="1240668"/>
                        </a:xfrm>
                        <a:prstGeom prst="arc">
                          <a:avLst>
                            <a:gd name="adj1" fmla="val 2400000"/>
                            <a:gd name="adj2" fmla="val 8400000"/>
                          </a:avLst>
                        </a:prstGeom>
                      </wps:spPr>
                      <wps:style>
                        <a:lnRef idx="2">
                          <a:schemeClr val="accent1">
                            <a:shade val="60000"/>
                            <a:hueOff val="0"/>
                            <a:satOff val="0"/>
                            <a:lumOff val="0"/>
                            <a:alphaOff val="0"/>
                          </a:schemeClr>
                        </a:lnRef>
                        <a:fillRef idx="0">
                          <a:schemeClr val="accent1">
                            <a:hueOff val="0"/>
                            <a:satOff val="0"/>
                            <a:lumOff val="0"/>
                            <a:alphaOff val="0"/>
                          </a:schemeClr>
                        </a:fillRef>
                        <a:effectRef idx="0">
                          <a:schemeClr val="accent1">
                            <a:hueOff val="0"/>
                            <a:satOff val="0"/>
                            <a:lumOff val="0"/>
                            <a:alphaOff val="0"/>
                          </a:schemeClr>
                        </a:effectRef>
                        <a:fontRef idx="minor">
                          <a:schemeClr val="tx1">
                            <a:hueOff val="0"/>
                            <a:satOff val="0"/>
                            <a:lumOff val="0"/>
                            <a:alphaOff val="0"/>
                          </a:schemeClr>
                        </a:fontRef>
                      </wps:style>
                      <wps:bodyPr/>
                    </wps:wsp>
                  </a:graphicData>
                </a:graphic>
              </wp:anchor>
            </w:drawing>
          </mc:Choice>
          <mc:Fallback>
            <w:pict>
              <v:shape w14:anchorId="7D84A5C1" id="Arc 3" o:spid="_x0000_s1026" style="position:absolute;margin-left:182pt;margin-top:246.5pt;width:97.7pt;height:97.7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240668,124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" path="m1095537,1019077nsc977671,1159544,803700,1240668,620334,1240668v-183366,,-357338,-81124,-475203,-221591l620334,620334r475203,398743xem1095537,1019077nfc977671,1159544,803700,1240668,620334,1240668v-183366,,-357338,-81124,-475203,-221591e" filled="f" strokecolor="#264378 [1924]" strokeweight="1pt">
                <v:stroke joinstyle="miter"/>
                <v:path arrowok="t" o:connecttype="custom" o:connectlocs="1095537,1019077;620334,1240668;145131,1019077" o:connectangles="0,0,0"/>
              </v:shape>
            </w:pict>
          </mc:Fallback>
        </mc:AlternateContent>
      </w:r>
    </w:p>
    <w:p w14:paraId="0C96B7EE" w14:textId="77777777" w:rsidR="00D81E33" w:rsidRDefault="00D81E33" w:rsidP="006A382E">
      <w:pPr>
        <w:pStyle w:val="ListParagraph"/>
        <w:tabs>
          <w:tab w:val="left" w:pos="90"/>
        </w:tabs>
        <w:ind w:left="0"/>
        <w:jc w:val="both"/>
        <w:rPr>
          <w:b/>
          <w:bCs/>
        </w:rPr>
      </w:pPr>
    </w:p>
    <w:p w14:paraId="5CBEA14D" w14:textId="77777777" w:rsidR="00D81E33" w:rsidRDefault="00D81E33" w:rsidP="006A382E">
      <w:pPr>
        <w:pStyle w:val="ListParagraph"/>
        <w:tabs>
          <w:tab w:val="left" w:pos="90"/>
        </w:tabs>
        <w:ind w:left="0"/>
        <w:jc w:val="both"/>
        <w:rPr>
          <w:b/>
          <w:bCs/>
        </w:rPr>
      </w:pPr>
    </w:p>
    <w:p w14:paraId="43BB69C3" w14:textId="77777777" w:rsidR="00D81E33" w:rsidRDefault="00D81E33" w:rsidP="006A382E">
      <w:pPr>
        <w:pStyle w:val="ListParagraph"/>
        <w:tabs>
          <w:tab w:val="left" w:pos="90"/>
        </w:tabs>
        <w:ind w:left="0"/>
        <w:jc w:val="both"/>
        <w:rPr>
          <w:b/>
          <w:bCs/>
        </w:rPr>
      </w:pPr>
    </w:p>
    <w:p w14:paraId="1B1ED05E" w14:textId="77777777" w:rsidR="00D81E33" w:rsidRDefault="00D81E33" w:rsidP="006A382E">
      <w:pPr>
        <w:pStyle w:val="ListParagraph"/>
        <w:tabs>
          <w:tab w:val="left" w:pos="90"/>
        </w:tabs>
        <w:ind w:left="0"/>
        <w:jc w:val="both"/>
        <w:rPr>
          <w:b/>
          <w:bCs/>
        </w:rPr>
      </w:pPr>
    </w:p>
    <w:p w14:paraId="2906DA55" w14:textId="77777777" w:rsidR="00D81E33" w:rsidRDefault="00D81E33" w:rsidP="006A382E">
      <w:pPr>
        <w:pStyle w:val="ListParagraph"/>
        <w:tabs>
          <w:tab w:val="left" w:pos="90"/>
        </w:tabs>
        <w:ind w:left="0"/>
        <w:jc w:val="both"/>
        <w:rPr>
          <w:b/>
          <w:bCs/>
        </w:rPr>
      </w:pPr>
    </w:p>
    <w:p w14:paraId="28D7A5DD" w14:textId="77777777" w:rsidR="00D81E33" w:rsidRDefault="00D81E33" w:rsidP="006A382E">
      <w:pPr>
        <w:pStyle w:val="ListParagraph"/>
        <w:tabs>
          <w:tab w:val="left" w:pos="90"/>
        </w:tabs>
        <w:ind w:left="0"/>
        <w:jc w:val="both"/>
        <w:rPr>
          <w:b/>
          <w:bCs/>
        </w:rPr>
      </w:pPr>
    </w:p>
    <w:p w14:paraId="2EF57F74" w14:textId="77777777" w:rsidR="00D81E33" w:rsidRDefault="00D81E33" w:rsidP="006A382E">
      <w:pPr>
        <w:pStyle w:val="ListParagraph"/>
        <w:tabs>
          <w:tab w:val="left" w:pos="90"/>
        </w:tabs>
        <w:ind w:left="0"/>
        <w:jc w:val="both"/>
        <w:rPr>
          <w:b/>
          <w:bCs/>
        </w:rPr>
      </w:pPr>
    </w:p>
    <w:p w14:paraId="4E4BADAF" w14:textId="77777777" w:rsidR="00D81E33" w:rsidRDefault="00D81E33" w:rsidP="006A382E">
      <w:pPr>
        <w:pStyle w:val="ListParagraph"/>
        <w:tabs>
          <w:tab w:val="left" w:pos="90"/>
        </w:tabs>
        <w:ind w:left="0"/>
        <w:jc w:val="both"/>
        <w:rPr>
          <w:b/>
          <w:bCs/>
        </w:rPr>
      </w:pPr>
    </w:p>
    <w:p w14:paraId="33CB0793" w14:textId="77777777" w:rsidR="00D81E33" w:rsidRDefault="00D81E33" w:rsidP="006A382E">
      <w:pPr>
        <w:pStyle w:val="ListParagraph"/>
        <w:tabs>
          <w:tab w:val="left" w:pos="90"/>
        </w:tabs>
        <w:ind w:left="0"/>
        <w:jc w:val="both"/>
        <w:rPr>
          <w:b/>
          <w:bCs/>
        </w:rPr>
      </w:pPr>
    </w:p>
    <w:p w14:paraId="67770956" w14:textId="77777777" w:rsidR="00D81E33" w:rsidRDefault="00D81E33" w:rsidP="006A382E">
      <w:pPr>
        <w:pStyle w:val="ListParagraph"/>
        <w:tabs>
          <w:tab w:val="left" w:pos="90"/>
        </w:tabs>
        <w:ind w:left="0"/>
        <w:jc w:val="both"/>
        <w:rPr>
          <w:b/>
          <w:bCs/>
        </w:rPr>
      </w:pPr>
    </w:p>
    <w:p w14:paraId="1F38BBC3" w14:textId="77777777" w:rsidR="00D81E33" w:rsidRDefault="00D81E33" w:rsidP="006A382E">
      <w:pPr>
        <w:pStyle w:val="ListParagraph"/>
        <w:tabs>
          <w:tab w:val="left" w:pos="90"/>
        </w:tabs>
        <w:ind w:left="0"/>
        <w:jc w:val="both"/>
        <w:rPr>
          <w:b/>
          <w:bCs/>
        </w:rPr>
      </w:pPr>
    </w:p>
    <w:p w14:paraId="1FEC61F5" w14:textId="77777777" w:rsidR="00D81E33" w:rsidRDefault="00D81E33" w:rsidP="006A382E">
      <w:pPr>
        <w:pStyle w:val="ListParagraph"/>
        <w:tabs>
          <w:tab w:val="left" w:pos="90"/>
        </w:tabs>
        <w:ind w:left="0"/>
        <w:jc w:val="both"/>
        <w:rPr>
          <w:b/>
          <w:bCs/>
        </w:rPr>
      </w:pPr>
    </w:p>
    <w:p w14:paraId="4A37B969" w14:textId="5E87EF18" w:rsidR="00DE0FBF" w:rsidRDefault="00DE0FBF" w:rsidP="006A382E">
      <w:pPr>
        <w:pStyle w:val="ListParagraph"/>
        <w:tabs>
          <w:tab w:val="left" w:pos="90"/>
        </w:tabs>
        <w:ind w:left="0"/>
        <w:jc w:val="both"/>
        <w:rPr>
          <w:b/>
          <w:bCs/>
        </w:rPr>
      </w:pPr>
      <w:r>
        <w:rPr>
          <w:b/>
          <w:bCs/>
        </w:rPr>
        <w:lastRenderedPageBreak/>
        <w:t>If you want to delve deeper into the EU bubble, here is an outline of the European Parliament Political Parties:</w:t>
      </w:r>
    </w:p>
    <w:p w14:paraId="0D364C18" w14:textId="56D0C13E" w:rsidR="00DE0FBF" w:rsidRDefault="00DE0FBF" w:rsidP="006A382E">
      <w:pPr>
        <w:pStyle w:val="ListParagraph"/>
        <w:tabs>
          <w:tab w:val="left" w:pos="90"/>
        </w:tabs>
        <w:ind w:left="0"/>
        <w:jc w:val="both"/>
        <w:rPr>
          <w:b/>
          <w:bCs/>
        </w:rPr>
      </w:pPr>
    </w:p>
    <w:p w14:paraId="0DC927FF" w14:textId="77777777" w:rsidR="00DE0FBF" w:rsidRPr="00017247" w:rsidRDefault="00DE0FBF" w:rsidP="006A382E">
      <w:pPr>
        <w:pStyle w:val="ListParagraph"/>
        <w:numPr>
          <w:ilvl w:val="0"/>
          <w:numId w:val="4"/>
        </w:numPr>
        <w:tabs>
          <w:tab w:val="left" w:pos="90"/>
        </w:tabs>
        <w:ind w:left="450"/>
        <w:jc w:val="both"/>
      </w:pPr>
      <w:r w:rsidRPr="000D688A">
        <w:rPr>
          <w:b/>
          <w:bCs/>
        </w:rPr>
        <w:t>Group of the European People's Party (</w:t>
      </w:r>
      <w:r>
        <w:rPr>
          <w:b/>
          <w:bCs/>
        </w:rPr>
        <w:t>EPP</w:t>
      </w:r>
      <w:r w:rsidRPr="000D688A">
        <w:rPr>
          <w:b/>
          <w:bCs/>
        </w:rPr>
        <w:t>)</w:t>
      </w:r>
      <w:r>
        <w:rPr>
          <w:b/>
          <w:bCs/>
        </w:rPr>
        <w:t xml:space="preserve"> – </w:t>
      </w:r>
      <w:r w:rsidRPr="00017247">
        <w:t>Known as the Christian Democrats or the Conservatives</w:t>
      </w:r>
      <w:r>
        <w:t>. It is the biggest group in the European Parliament (but they do not have an absolute majority).</w:t>
      </w:r>
    </w:p>
    <w:p w14:paraId="79102572" w14:textId="77777777" w:rsidR="00DE0FBF" w:rsidRPr="00986EE4" w:rsidRDefault="00DE0FBF" w:rsidP="006A382E">
      <w:pPr>
        <w:pStyle w:val="ListParagraph"/>
        <w:numPr>
          <w:ilvl w:val="0"/>
          <w:numId w:val="4"/>
        </w:numPr>
        <w:tabs>
          <w:tab w:val="left" w:pos="90"/>
        </w:tabs>
        <w:ind w:left="450"/>
        <w:jc w:val="both"/>
      </w:pPr>
      <w:r w:rsidRPr="000D688A">
        <w:rPr>
          <w:b/>
          <w:bCs/>
        </w:rPr>
        <w:t xml:space="preserve">Group of the Progressive Alliance of Socialists and Democrats </w:t>
      </w:r>
      <w:r>
        <w:rPr>
          <w:b/>
          <w:bCs/>
        </w:rPr>
        <w:t xml:space="preserve">(S&amp;D) – </w:t>
      </w:r>
      <w:r w:rsidRPr="00986EE4">
        <w:t xml:space="preserve">The group </w:t>
      </w:r>
      <w:r>
        <w:t xml:space="preserve">is composed of </w:t>
      </w:r>
      <w:r w:rsidRPr="00986EE4">
        <w:t>European social-democratic parties</w:t>
      </w:r>
      <w:r>
        <w:t>.</w:t>
      </w:r>
    </w:p>
    <w:p w14:paraId="7B796F03" w14:textId="77777777" w:rsidR="00DE0FBF" w:rsidRPr="001A0473" w:rsidRDefault="00DE0FBF" w:rsidP="006A382E">
      <w:pPr>
        <w:pStyle w:val="ListParagraph"/>
        <w:numPr>
          <w:ilvl w:val="0"/>
          <w:numId w:val="4"/>
        </w:numPr>
        <w:tabs>
          <w:tab w:val="left" w:pos="90"/>
        </w:tabs>
        <w:ind w:left="450"/>
        <w:jc w:val="both"/>
        <w:rPr>
          <w:b/>
          <w:bCs/>
        </w:rPr>
      </w:pPr>
      <w:r w:rsidRPr="000D688A">
        <w:rPr>
          <w:b/>
          <w:bCs/>
        </w:rPr>
        <w:t>Renew Europe Group</w:t>
      </w:r>
      <w:r>
        <w:rPr>
          <w:b/>
          <w:bCs/>
        </w:rPr>
        <w:t xml:space="preserve"> </w:t>
      </w:r>
      <w:r>
        <w:t>– The</w:t>
      </w:r>
      <w:r w:rsidRPr="001A0473">
        <w:t xml:space="preserve"> </w:t>
      </w:r>
      <w:r>
        <w:t>centrist-</w:t>
      </w:r>
      <w:r w:rsidRPr="001A0473">
        <w:t>liberal, pro-European political group</w:t>
      </w:r>
      <w:r>
        <w:t xml:space="preserve"> in the European Parliament. They are often the dealmakers depending on whether they align themselves with the EPP or S&amp;D on the different policy files.</w:t>
      </w:r>
    </w:p>
    <w:p w14:paraId="7CA4B5CE" w14:textId="77777777" w:rsidR="00DE0FBF" w:rsidRPr="00017247" w:rsidRDefault="00DE0FBF" w:rsidP="006A382E">
      <w:pPr>
        <w:pStyle w:val="ListParagraph"/>
        <w:numPr>
          <w:ilvl w:val="0"/>
          <w:numId w:val="4"/>
        </w:numPr>
        <w:tabs>
          <w:tab w:val="left" w:pos="90"/>
        </w:tabs>
        <w:ind w:left="450"/>
        <w:jc w:val="both"/>
        <w:rPr>
          <w:b/>
          <w:bCs/>
        </w:rPr>
      </w:pPr>
      <w:r w:rsidRPr="000D688A">
        <w:rPr>
          <w:b/>
          <w:bCs/>
        </w:rPr>
        <w:t>Group of the Greens/European Free Alliance</w:t>
      </w:r>
      <w:r>
        <w:rPr>
          <w:b/>
          <w:bCs/>
        </w:rPr>
        <w:t xml:space="preserve"> (Greens/EFA)</w:t>
      </w:r>
      <w:r>
        <w:t xml:space="preserve"> - </w:t>
      </w:r>
      <w:r w:rsidRPr="00986EE4">
        <w:t>The group compromises green and regionalist political parties.</w:t>
      </w:r>
      <w:r>
        <w:t xml:space="preserve"> They are the ones pushing for more ambitious climate policies.</w:t>
      </w:r>
    </w:p>
    <w:p w14:paraId="55DF9972" w14:textId="72202E0E" w:rsidR="00DE0FBF" w:rsidRPr="00C3680B" w:rsidRDefault="00DE0FBF" w:rsidP="006A382E">
      <w:pPr>
        <w:pStyle w:val="ListParagraph"/>
        <w:numPr>
          <w:ilvl w:val="0"/>
          <w:numId w:val="4"/>
        </w:numPr>
        <w:tabs>
          <w:tab w:val="left" w:pos="90"/>
        </w:tabs>
        <w:ind w:left="450"/>
        <w:jc w:val="both"/>
      </w:pPr>
      <w:r w:rsidRPr="000D688A">
        <w:rPr>
          <w:b/>
          <w:bCs/>
        </w:rPr>
        <w:t>Identity and Democracy Group</w:t>
      </w:r>
      <w:r>
        <w:rPr>
          <w:b/>
          <w:bCs/>
        </w:rPr>
        <w:t xml:space="preserve"> (ID) – </w:t>
      </w:r>
      <w:r>
        <w:t xml:space="preserve">The group is </w:t>
      </w:r>
      <w:r w:rsidRPr="00C3680B">
        <w:t>composed of nationalist, right-wing populist</w:t>
      </w:r>
      <w:r w:rsidR="0046182A">
        <w:t>,</w:t>
      </w:r>
      <w:r w:rsidRPr="00C3680B">
        <w:t xml:space="preserve"> and Eurosceptic national parties</w:t>
      </w:r>
      <w:r>
        <w:t xml:space="preserve">. </w:t>
      </w:r>
    </w:p>
    <w:p w14:paraId="7E0E7CC2" w14:textId="77777777" w:rsidR="00DE0FBF" w:rsidRPr="00017247" w:rsidRDefault="00DE0FBF" w:rsidP="006A382E">
      <w:pPr>
        <w:pStyle w:val="ListParagraph"/>
        <w:numPr>
          <w:ilvl w:val="0"/>
          <w:numId w:val="4"/>
        </w:numPr>
        <w:tabs>
          <w:tab w:val="left" w:pos="90"/>
        </w:tabs>
        <w:ind w:left="450"/>
        <w:jc w:val="both"/>
        <w:rPr>
          <w:b/>
          <w:bCs/>
        </w:rPr>
      </w:pPr>
      <w:r w:rsidRPr="000D688A">
        <w:rPr>
          <w:b/>
          <w:bCs/>
        </w:rPr>
        <w:t>European Conservatives and Reformists Group</w:t>
      </w:r>
      <w:r>
        <w:rPr>
          <w:b/>
          <w:bCs/>
        </w:rPr>
        <w:t xml:space="preserve"> (ECR)</w:t>
      </w:r>
      <w:r>
        <w:t xml:space="preserve"> – A </w:t>
      </w:r>
      <w:r w:rsidRPr="00C3680B">
        <w:t xml:space="preserve">right-wing </w:t>
      </w:r>
      <w:r>
        <w:t>political group, often labelled as “constructive” or “</w:t>
      </w:r>
      <w:r w:rsidRPr="00C3680B">
        <w:t>soft</w:t>
      </w:r>
      <w:r>
        <w:t>”</w:t>
      </w:r>
      <w:r w:rsidRPr="00C3680B">
        <w:t xml:space="preserve"> Eurosceptic</w:t>
      </w:r>
      <w:r>
        <w:t>.</w:t>
      </w:r>
    </w:p>
    <w:p w14:paraId="0CD51039" w14:textId="3F2B1061" w:rsidR="00DE0FBF" w:rsidRPr="000D688A" w:rsidRDefault="00DE0FBF" w:rsidP="006A382E">
      <w:pPr>
        <w:pStyle w:val="ListParagraph"/>
        <w:numPr>
          <w:ilvl w:val="0"/>
          <w:numId w:val="4"/>
        </w:numPr>
        <w:tabs>
          <w:tab w:val="left" w:pos="90"/>
        </w:tabs>
        <w:ind w:left="450"/>
        <w:jc w:val="both"/>
        <w:rPr>
          <w:b/>
          <w:bCs/>
        </w:rPr>
      </w:pPr>
      <w:r w:rsidRPr="000D688A">
        <w:rPr>
          <w:b/>
          <w:bCs/>
        </w:rPr>
        <w:t xml:space="preserve">The Left group </w:t>
      </w:r>
      <w:r>
        <w:rPr>
          <w:b/>
          <w:bCs/>
        </w:rPr>
        <w:t>(</w:t>
      </w:r>
      <w:r w:rsidRPr="000D688A">
        <w:rPr>
          <w:b/>
          <w:bCs/>
        </w:rPr>
        <w:t>GUE/NGL</w:t>
      </w:r>
      <w:r>
        <w:rPr>
          <w:b/>
          <w:bCs/>
        </w:rPr>
        <w:t xml:space="preserve">) </w:t>
      </w:r>
      <w:r w:rsidRPr="00C3680B">
        <w:t>– The group comprises left-wing, socialist</w:t>
      </w:r>
      <w:r w:rsidR="0046182A">
        <w:t>,</w:t>
      </w:r>
      <w:r w:rsidRPr="00C3680B">
        <w:t xml:space="preserve"> and communist political parties with a Eurosceptic orientation.</w:t>
      </w:r>
    </w:p>
    <w:p w14:paraId="1D883796" w14:textId="77777777" w:rsidR="00DE0FBF" w:rsidRDefault="00DE0FBF" w:rsidP="006A382E">
      <w:pPr>
        <w:pStyle w:val="ListParagraph"/>
        <w:tabs>
          <w:tab w:val="left" w:pos="90"/>
        </w:tabs>
        <w:ind w:left="0"/>
        <w:jc w:val="both"/>
        <w:rPr>
          <w:b/>
          <w:bCs/>
        </w:rPr>
      </w:pPr>
    </w:p>
    <w:p w14:paraId="6292300B" w14:textId="4ED60BE7" w:rsidR="002E56B7" w:rsidRDefault="002E56B7" w:rsidP="006A382E">
      <w:pPr>
        <w:pStyle w:val="ListParagraph"/>
        <w:tabs>
          <w:tab w:val="left" w:pos="90"/>
        </w:tabs>
        <w:ind w:left="0"/>
        <w:jc w:val="both"/>
        <w:rPr>
          <w:b/>
          <w:bCs/>
        </w:rPr>
      </w:pPr>
      <w:r>
        <w:rPr>
          <w:b/>
          <w:bCs/>
        </w:rPr>
        <w:t>Other terms you will encounter in your newsletters:</w:t>
      </w:r>
    </w:p>
    <w:p w14:paraId="1B7A9BF3" w14:textId="77777777" w:rsidR="00EC511E" w:rsidRDefault="002E56B7" w:rsidP="006A382E">
      <w:pPr>
        <w:pStyle w:val="ListParagraph"/>
        <w:numPr>
          <w:ilvl w:val="0"/>
          <w:numId w:val="9"/>
        </w:numPr>
        <w:tabs>
          <w:tab w:val="left" w:pos="90"/>
        </w:tabs>
        <w:jc w:val="both"/>
      </w:pPr>
      <w:r>
        <w:rPr>
          <w:b/>
          <w:bCs/>
        </w:rPr>
        <w:t xml:space="preserve">SAFs: </w:t>
      </w:r>
      <w:r w:rsidRPr="002E56B7">
        <w:t>Sustainable Aviation Fuels</w:t>
      </w:r>
    </w:p>
    <w:p w14:paraId="438E95AD" w14:textId="07222F0A" w:rsidR="00BD2979" w:rsidRDefault="00BD2979" w:rsidP="006A382E">
      <w:pPr>
        <w:pStyle w:val="ListParagraph"/>
        <w:numPr>
          <w:ilvl w:val="0"/>
          <w:numId w:val="9"/>
        </w:numPr>
        <w:tabs>
          <w:tab w:val="left" w:pos="90"/>
        </w:tabs>
        <w:jc w:val="both"/>
      </w:pPr>
      <w:r w:rsidRPr="00EC511E">
        <w:rPr>
          <w:b/>
          <w:bCs/>
        </w:rPr>
        <w:t xml:space="preserve">Final energy </w:t>
      </w:r>
      <w:proofErr w:type="gramStart"/>
      <w:r w:rsidRPr="00EC511E">
        <w:rPr>
          <w:b/>
          <w:bCs/>
        </w:rPr>
        <w:t>consumption:</w:t>
      </w:r>
      <w:proofErr w:type="gramEnd"/>
      <w:r w:rsidRPr="00BD2979">
        <w:t xml:space="preserve"> represents energy consumed by end-users, while primary energy</w:t>
      </w:r>
      <w:r>
        <w:t xml:space="preserve"> </w:t>
      </w:r>
      <w:r w:rsidRPr="00BD2979">
        <w:t>consumption also includes what is used for the production and supply of energy.</w:t>
      </w:r>
    </w:p>
    <w:p w14:paraId="5DE63A59" w14:textId="73B8BD38" w:rsidR="006A382E" w:rsidRPr="006A382E" w:rsidRDefault="006A382E" w:rsidP="006A382E">
      <w:pPr>
        <w:pStyle w:val="ListParagraph"/>
        <w:numPr>
          <w:ilvl w:val="0"/>
          <w:numId w:val="9"/>
        </w:numPr>
        <w:tabs>
          <w:tab w:val="left" w:pos="90"/>
        </w:tabs>
        <w:jc w:val="both"/>
      </w:pPr>
      <w:r>
        <w:rPr>
          <w:b/>
          <w:bCs/>
        </w:rPr>
        <w:t>CORSIA:</w:t>
      </w:r>
      <w:r>
        <w:t xml:space="preserve"> </w:t>
      </w:r>
      <w:r w:rsidRPr="006A382E">
        <w:t>Carbon Offsetting and Reduction Scheme for International Aviation</w:t>
      </w:r>
      <w:r>
        <w:t xml:space="preserve"> - </w:t>
      </w:r>
      <w:r w:rsidRPr="006A382E">
        <w:t>CORSIA is the first global market-based measure for any sector and represents a cooperative approach that moves away from a “patchwork” of national or regional regulatory initiatives. It offers a harmonized way to reduce emissions from international aviation, minimizing market distortion, while respecting the special circumstances and respective capabilities of ICAO Member States.</w:t>
      </w:r>
    </w:p>
    <w:p w14:paraId="457336D3" w14:textId="64595B6C" w:rsidR="006A382E" w:rsidRPr="002E56B7" w:rsidRDefault="006A382E" w:rsidP="006A382E">
      <w:pPr>
        <w:tabs>
          <w:tab w:val="left" w:pos="90"/>
        </w:tabs>
        <w:ind w:left="360"/>
        <w:jc w:val="both"/>
      </w:pPr>
    </w:p>
    <w:sectPr w:rsidR="006A382E" w:rsidRPr="002E56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B71F8" w14:textId="77777777" w:rsidR="007263C2" w:rsidRDefault="007263C2" w:rsidP="000D688A">
      <w:pPr>
        <w:spacing w:after="0" w:line="240" w:lineRule="auto"/>
      </w:pPr>
      <w:r>
        <w:separator/>
      </w:r>
    </w:p>
  </w:endnote>
  <w:endnote w:type="continuationSeparator" w:id="0">
    <w:p w14:paraId="37661B7A" w14:textId="77777777" w:rsidR="007263C2" w:rsidRDefault="007263C2" w:rsidP="000D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D6F45" w14:textId="77777777" w:rsidR="007263C2" w:rsidRDefault="007263C2" w:rsidP="000D688A">
      <w:pPr>
        <w:spacing w:after="0" w:line="240" w:lineRule="auto"/>
      </w:pPr>
      <w:r>
        <w:separator/>
      </w:r>
    </w:p>
  </w:footnote>
  <w:footnote w:type="continuationSeparator" w:id="0">
    <w:p w14:paraId="50436B24" w14:textId="77777777" w:rsidR="007263C2" w:rsidRDefault="007263C2" w:rsidP="000D6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12E40"/>
    <w:multiLevelType w:val="hybridMultilevel"/>
    <w:tmpl w:val="64AC992E"/>
    <w:lvl w:ilvl="0" w:tplc="A9468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F702B"/>
    <w:multiLevelType w:val="hybridMultilevel"/>
    <w:tmpl w:val="06CE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E3ABE"/>
    <w:multiLevelType w:val="hybridMultilevel"/>
    <w:tmpl w:val="808E6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3E79FA"/>
    <w:multiLevelType w:val="hybridMultilevel"/>
    <w:tmpl w:val="E64C9832"/>
    <w:lvl w:ilvl="0" w:tplc="212A89E6">
      <w:start w:val="2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26A1FC9"/>
    <w:multiLevelType w:val="hybridMultilevel"/>
    <w:tmpl w:val="3FC84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57E47"/>
    <w:multiLevelType w:val="hybridMultilevel"/>
    <w:tmpl w:val="5E8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E35E0"/>
    <w:multiLevelType w:val="hybridMultilevel"/>
    <w:tmpl w:val="A65E02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007E9E"/>
    <w:multiLevelType w:val="hybridMultilevel"/>
    <w:tmpl w:val="7A98A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C06258"/>
    <w:multiLevelType w:val="hybridMultilevel"/>
    <w:tmpl w:val="9BEE9C88"/>
    <w:lvl w:ilvl="0" w:tplc="41C0AE4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0F49E5"/>
    <w:multiLevelType w:val="hybridMultilevel"/>
    <w:tmpl w:val="4C8C0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0886156">
    <w:abstractNumId w:val="0"/>
  </w:num>
  <w:num w:numId="2" w16cid:durableId="55979996">
    <w:abstractNumId w:val="5"/>
  </w:num>
  <w:num w:numId="3" w16cid:durableId="163058145">
    <w:abstractNumId w:val="8"/>
  </w:num>
  <w:num w:numId="4" w16cid:durableId="414475186">
    <w:abstractNumId w:val="7"/>
  </w:num>
  <w:num w:numId="5" w16cid:durableId="1165245831">
    <w:abstractNumId w:val="2"/>
  </w:num>
  <w:num w:numId="6" w16cid:durableId="1888447405">
    <w:abstractNumId w:val="3"/>
  </w:num>
  <w:num w:numId="7" w16cid:durableId="1373074588">
    <w:abstractNumId w:val="6"/>
  </w:num>
  <w:num w:numId="8" w16cid:durableId="2126192190">
    <w:abstractNumId w:val="9"/>
  </w:num>
  <w:num w:numId="9" w16cid:durableId="1814445434">
    <w:abstractNumId w:val="4"/>
  </w:num>
  <w:num w:numId="10" w16cid:durableId="1092160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BB8"/>
    <w:rsid w:val="00017247"/>
    <w:rsid w:val="00084FB6"/>
    <w:rsid w:val="000D688A"/>
    <w:rsid w:val="000E43EB"/>
    <w:rsid w:val="00145759"/>
    <w:rsid w:val="001A0473"/>
    <w:rsid w:val="001E26B4"/>
    <w:rsid w:val="002576C0"/>
    <w:rsid w:val="00284C58"/>
    <w:rsid w:val="002E56B7"/>
    <w:rsid w:val="0031092E"/>
    <w:rsid w:val="00335C6E"/>
    <w:rsid w:val="0035207F"/>
    <w:rsid w:val="003D435F"/>
    <w:rsid w:val="0046182A"/>
    <w:rsid w:val="004A0061"/>
    <w:rsid w:val="004B0391"/>
    <w:rsid w:val="00621F50"/>
    <w:rsid w:val="006A1718"/>
    <w:rsid w:val="006A382E"/>
    <w:rsid w:val="007263C2"/>
    <w:rsid w:val="00763E5A"/>
    <w:rsid w:val="007727FE"/>
    <w:rsid w:val="00774808"/>
    <w:rsid w:val="007E7C7D"/>
    <w:rsid w:val="00830855"/>
    <w:rsid w:val="008D1088"/>
    <w:rsid w:val="00957ADC"/>
    <w:rsid w:val="00986EE4"/>
    <w:rsid w:val="009D5A12"/>
    <w:rsid w:val="00A82A72"/>
    <w:rsid w:val="00AA3533"/>
    <w:rsid w:val="00B94118"/>
    <w:rsid w:val="00BA0024"/>
    <w:rsid w:val="00BD2979"/>
    <w:rsid w:val="00BD3A19"/>
    <w:rsid w:val="00C3680B"/>
    <w:rsid w:val="00C73307"/>
    <w:rsid w:val="00CD3809"/>
    <w:rsid w:val="00D81E33"/>
    <w:rsid w:val="00DE0FBF"/>
    <w:rsid w:val="00E82BB8"/>
    <w:rsid w:val="00EC511E"/>
    <w:rsid w:val="00F15C72"/>
    <w:rsid w:val="00F62BB7"/>
    <w:rsid w:val="00F930FB"/>
    <w:rsid w:val="00FF60E9"/>
    <w:rsid w:val="5D11A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279E9"/>
  <w15:chartTrackingRefBased/>
  <w15:docId w15:val="{046C4A4B-99DA-408D-84DF-BB48AB06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38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63E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03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0391"/>
    <w:rPr>
      <w:b/>
      <w:bCs/>
    </w:rPr>
  </w:style>
  <w:style w:type="paragraph" w:styleId="ListParagraph">
    <w:name w:val="List Paragraph"/>
    <w:basedOn w:val="Normal"/>
    <w:uiPriority w:val="34"/>
    <w:qFormat/>
    <w:rsid w:val="00763E5A"/>
    <w:pPr>
      <w:ind w:left="720"/>
      <w:contextualSpacing/>
    </w:pPr>
  </w:style>
  <w:style w:type="character" w:customStyle="1" w:styleId="Heading3Char">
    <w:name w:val="Heading 3 Char"/>
    <w:basedOn w:val="DefaultParagraphFont"/>
    <w:link w:val="Heading3"/>
    <w:uiPriority w:val="9"/>
    <w:rsid w:val="00763E5A"/>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CD380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D6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88A"/>
  </w:style>
  <w:style w:type="paragraph" w:styleId="Footer">
    <w:name w:val="footer"/>
    <w:basedOn w:val="Normal"/>
    <w:link w:val="FooterChar"/>
    <w:uiPriority w:val="99"/>
    <w:unhideWhenUsed/>
    <w:rsid w:val="000D6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88A"/>
  </w:style>
  <w:style w:type="paragraph" w:styleId="Revision">
    <w:name w:val="Revision"/>
    <w:hidden/>
    <w:uiPriority w:val="99"/>
    <w:semiHidden/>
    <w:rsid w:val="003109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188193">
      <w:bodyDiv w:val="1"/>
      <w:marLeft w:val="0"/>
      <w:marRight w:val="0"/>
      <w:marTop w:val="0"/>
      <w:marBottom w:val="0"/>
      <w:divBdr>
        <w:top w:val="none" w:sz="0" w:space="0" w:color="auto"/>
        <w:left w:val="none" w:sz="0" w:space="0" w:color="auto"/>
        <w:bottom w:val="none" w:sz="0" w:space="0" w:color="auto"/>
        <w:right w:val="none" w:sz="0" w:space="0" w:color="auto"/>
      </w:divBdr>
      <w:divsChild>
        <w:div w:id="478108441">
          <w:marLeft w:val="0"/>
          <w:marRight w:val="0"/>
          <w:marTop w:val="0"/>
          <w:marBottom w:val="0"/>
          <w:divBdr>
            <w:top w:val="none" w:sz="0" w:space="0" w:color="auto"/>
            <w:left w:val="none" w:sz="0" w:space="0" w:color="auto"/>
            <w:bottom w:val="none" w:sz="0" w:space="0" w:color="auto"/>
            <w:right w:val="none" w:sz="0" w:space="0" w:color="auto"/>
          </w:divBdr>
          <w:divsChild>
            <w:div w:id="1701272623">
              <w:marLeft w:val="0"/>
              <w:marRight w:val="0"/>
              <w:marTop w:val="0"/>
              <w:marBottom w:val="0"/>
              <w:divBdr>
                <w:top w:val="none" w:sz="0" w:space="0" w:color="auto"/>
                <w:left w:val="none" w:sz="0" w:space="0" w:color="auto"/>
                <w:bottom w:val="none" w:sz="0" w:space="0" w:color="auto"/>
                <w:right w:val="none" w:sz="0" w:space="0" w:color="auto"/>
              </w:divBdr>
              <w:divsChild>
                <w:div w:id="179661207">
                  <w:marLeft w:val="0"/>
                  <w:marRight w:val="0"/>
                  <w:marTop w:val="0"/>
                  <w:marBottom w:val="0"/>
                  <w:divBdr>
                    <w:top w:val="none" w:sz="0" w:space="0" w:color="auto"/>
                    <w:left w:val="none" w:sz="0" w:space="0" w:color="auto"/>
                    <w:bottom w:val="none" w:sz="0" w:space="0" w:color="auto"/>
                    <w:right w:val="none" w:sz="0" w:space="0" w:color="auto"/>
                  </w:divBdr>
                  <w:divsChild>
                    <w:div w:id="2053193816">
                      <w:marLeft w:val="0"/>
                      <w:marRight w:val="0"/>
                      <w:marTop w:val="0"/>
                      <w:marBottom w:val="0"/>
                      <w:divBdr>
                        <w:top w:val="none" w:sz="0" w:space="0" w:color="auto"/>
                        <w:left w:val="none" w:sz="0" w:space="0" w:color="auto"/>
                        <w:bottom w:val="none" w:sz="0" w:space="0" w:color="auto"/>
                        <w:right w:val="none" w:sz="0" w:space="0" w:color="auto"/>
                      </w:divBdr>
                      <w:divsChild>
                        <w:div w:id="756901695">
                          <w:marLeft w:val="0"/>
                          <w:marRight w:val="0"/>
                          <w:marTop w:val="0"/>
                          <w:marBottom w:val="0"/>
                          <w:divBdr>
                            <w:top w:val="none" w:sz="0" w:space="0" w:color="auto"/>
                            <w:left w:val="none" w:sz="0" w:space="0" w:color="auto"/>
                            <w:bottom w:val="none" w:sz="0" w:space="0" w:color="auto"/>
                            <w:right w:val="none" w:sz="0" w:space="0" w:color="auto"/>
                          </w:divBdr>
                          <w:divsChild>
                            <w:div w:id="1912807937">
                              <w:marLeft w:val="0"/>
                              <w:marRight w:val="0"/>
                              <w:marTop w:val="0"/>
                              <w:marBottom w:val="0"/>
                              <w:divBdr>
                                <w:top w:val="none" w:sz="0" w:space="0" w:color="auto"/>
                                <w:left w:val="none" w:sz="0" w:space="0" w:color="auto"/>
                                <w:bottom w:val="none" w:sz="0" w:space="0" w:color="auto"/>
                                <w:right w:val="none" w:sz="0" w:space="0" w:color="auto"/>
                              </w:divBdr>
                            </w:div>
                            <w:div w:id="495875632">
                              <w:marLeft w:val="0"/>
                              <w:marRight w:val="0"/>
                              <w:marTop w:val="0"/>
                              <w:marBottom w:val="0"/>
                              <w:divBdr>
                                <w:top w:val="none" w:sz="0" w:space="0" w:color="auto"/>
                                <w:left w:val="none" w:sz="0" w:space="0" w:color="auto"/>
                                <w:bottom w:val="none" w:sz="0" w:space="0" w:color="auto"/>
                                <w:right w:val="none" w:sz="0" w:space="0" w:color="auto"/>
                              </w:divBdr>
                            </w:div>
                            <w:div w:id="740296978">
                              <w:marLeft w:val="0"/>
                              <w:marRight w:val="0"/>
                              <w:marTop w:val="0"/>
                              <w:marBottom w:val="0"/>
                              <w:divBdr>
                                <w:top w:val="none" w:sz="0" w:space="0" w:color="auto"/>
                                <w:left w:val="none" w:sz="0" w:space="0" w:color="auto"/>
                                <w:bottom w:val="none" w:sz="0" w:space="0" w:color="auto"/>
                                <w:right w:val="none" w:sz="0" w:space="0" w:color="auto"/>
                              </w:divBdr>
                            </w:div>
                            <w:div w:id="1940480854">
                              <w:marLeft w:val="0"/>
                              <w:marRight w:val="0"/>
                              <w:marTop w:val="0"/>
                              <w:marBottom w:val="0"/>
                              <w:divBdr>
                                <w:top w:val="none" w:sz="0" w:space="0" w:color="auto"/>
                                <w:left w:val="none" w:sz="0" w:space="0" w:color="auto"/>
                                <w:bottom w:val="none" w:sz="0" w:space="0" w:color="auto"/>
                                <w:right w:val="none" w:sz="0" w:space="0" w:color="auto"/>
                              </w:divBdr>
                            </w:div>
                            <w:div w:id="209148121">
                              <w:marLeft w:val="0"/>
                              <w:marRight w:val="0"/>
                              <w:marTop w:val="0"/>
                              <w:marBottom w:val="0"/>
                              <w:divBdr>
                                <w:top w:val="none" w:sz="0" w:space="0" w:color="auto"/>
                                <w:left w:val="none" w:sz="0" w:space="0" w:color="auto"/>
                                <w:bottom w:val="none" w:sz="0" w:space="0" w:color="auto"/>
                                <w:right w:val="none" w:sz="0" w:space="0" w:color="auto"/>
                              </w:divBdr>
                            </w:div>
                            <w:div w:id="846791767">
                              <w:marLeft w:val="0"/>
                              <w:marRight w:val="0"/>
                              <w:marTop w:val="0"/>
                              <w:marBottom w:val="0"/>
                              <w:divBdr>
                                <w:top w:val="none" w:sz="0" w:space="0" w:color="auto"/>
                                <w:left w:val="none" w:sz="0" w:space="0" w:color="auto"/>
                                <w:bottom w:val="none" w:sz="0" w:space="0" w:color="auto"/>
                                <w:right w:val="none" w:sz="0" w:space="0" w:color="auto"/>
                              </w:divBdr>
                            </w:div>
                            <w:div w:id="552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646714">
      <w:bodyDiv w:val="1"/>
      <w:marLeft w:val="0"/>
      <w:marRight w:val="0"/>
      <w:marTop w:val="0"/>
      <w:marBottom w:val="0"/>
      <w:divBdr>
        <w:top w:val="none" w:sz="0" w:space="0" w:color="auto"/>
        <w:left w:val="none" w:sz="0" w:space="0" w:color="auto"/>
        <w:bottom w:val="none" w:sz="0" w:space="0" w:color="auto"/>
        <w:right w:val="none" w:sz="0" w:space="0" w:color="auto"/>
      </w:divBdr>
    </w:div>
    <w:div w:id="726488967">
      <w:bodyDiv w:val="1"/>
      <w:marLeft w:val="0"/>
      <w:marRight w:val="0"/>
      <w:marTop w:val="0"/>
      <w:marBottom w:val="0"/>
      <w:divBdr>
        <w:top w:val="none" w:sz="0" w:space="0" w:color="auto"/>
        <w:left w:val="none" w:sz="0" w:space="0" w:color="auto"/>
        <w:bottom w:val="none" w:sz="0" w:space="0" w:color="auto"/>
        <w:right w:val="none" w:sz="0" w:space="0" w:color="auto"/>
      </w:divBdr>
    </w:div>
    <w:div w:id="759837595">
      <w:bodyDiv w:val="1"/>
      <w:marLeft w:val="0"/>
      <w:marRight w:val="0"/>
      <w:marTop w:val="0"/>
      <w:marBottom w:val="0"/>
      <w:divBdr>
        <w:top w:val="none" w:sz="0" w:space="0" w:color="auto"/>
        <w:left w:val="none" w:sz="0" w:space="0" w:color="auto"/>
        <w:bottom w:val="none" w:sz="0" w:space="0" w:color="auto"/>
        <w:right w:val="none" w:sz="0" w:space="0" w:color="auto"/>
      </w:divBdr>
    </w:div>
    <w:div w:id="951014367">
      <w:bodyDiv w:val="1"/>
      <w:marLeft w:val="0"/>
      <w:marRight w:val="0"/>
      <w:marTop w:val="0"/>
      <w:marBottom w:val="0"/>
      <w:divBdr>
        <w:top w:val="none" w:sz="0" w:space="0" w:color="auto"/>
        <w:left w:val="none" w:sz="0" w:space="0" w:color="auto"/>
        <w:bottom w:val="none" w:sz="0" w:space="0" w:color="auto"/>
        <w:right w:val="none" w:sz="0" w:space="0" w:color="auto"/>
      </w:divBdr>
    </w:div>
    <w:div w:id="1331954766">
      <w:bodyDiv w:val="1"/>
      <w:marLeft w:val="0"/>
      <w:marRight w:val="0"/>
      <w:marTop w:val="0"/>
      <w:marBottom w:val="0"/>
      <w:divBdr>
        <w:top w:val="none" w:sz="0" w:space="0" w:color="auto"/>
        <w:left w:val="none" w:sz="0" w:space="0" w:color="auto"/>
        <w:bottom w:val="none" w:sz="0" w:space="0" w:color="auto"/>
        <w:right w:val="none" w:sz="0" w:space="0" w:color="auto"/>
      </w:divBdr>
    </w:div>
    <w:div w:id="1508059930">
      <w:bodyDiv w:val="1"/>
      <w:marLeft w:val="0"/>
      <w:marRight w:val="0"/>
      <w:marTop w:val="0"/>
      <w:marBottom w:val="0"/>
      <w:divBdr>
        <w:top w:val="none" w:sz="0" w:space="0" w:color="auto"/>
        <w:left w:val="none" w:sz="0" w:space="0" w:color="auto"/>
        <w:bottom w:val="none" w:sz="0" w:space="0" w:color="auto"/>
        <w:right w:val="none" w:sz="0" w:space="0" w:color="auto"/>
      </w:divBdr>
      <w:divsChild>
        <w:div w:id="1081410262">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1711614181">
      <w:bodyDiv w:val="1"/>
      <w:marLeft w:val="0"/>
      <w:marRight w:val="0"/>
      <w:marTop w:val="0"/>
      <w:marBottom w:val="0"/>
      <w:divBdr>
        <w:top w:val="none" w:sz="0" w:space="0" w:color="auto"/>
        <w:left w:val="none" w:sz="0" w:space="0" w:color="auto"/>
        <w:bottom w:val="none" w:sz="0" w:space="0" w:color="auto"/>
        <w:right w:val="none" w:sz="0" w:space="0" w:color="auto"/>
      </w:divBdr>
    </w:div>
    <w:div w:id="1774738396">
      <w:bodyDiv w:val="1"/>
      <w:marLeft w:val="0"/>
      <w:marRight w:val="0"/>
      <w:marTop w:val="0"/>
      <w:marBottom w:val="0"/>
      <w:divBdr>
        <w:top w:val="none" w:sz="0" w:space="0" w:color="auto"/>
        <w:left w:val="none" w:sz="0" w:space="0" w:color="auto"/>
        <w:bottom w:val="none" w:sz="0" w:space="0" w:color="auto"/>
        <w:right w:val="none" w:sz="0" w:space="0" w:color="auto"/>
      </w:divBdr>
    </w:div>
    <w:div w:id="1967393874">
      <w:bodyDiv w:val="1"/>
      <w:marLeft w:val="0"/>
      <w:marRight w:val="0"/>
      <w:marTop w:val="0"/>
      <w:marBottom w:val="0"/>
      <w:divBdr>
        <w:top w:val="none" w:sz="0" w:space="0" w:color="auto"/>
        <w:left w:val="none" w:sz="0" w:space="0" w:color="auto"/>
        <w:bottom w:val="none" w:sz="0" w:space="0" w:color="auto"/>
        <w:right w:val="none" w:sz="0" w:space="0" w:color="auto"/>
      </w:divBdr>
    </w:div>
    <w:div w:id="1985502551">
      <w:bodyDiv w:val="1"/>
      <w:marLeft w:val="0"/>
      <w:marRight w:val="0"/>
      <w:marTop w:val="0"/>
      <w:marBottom w:val="0"/>
      <w:divBdr>
        <w:top w:val="none" w:sz="0" w:space="0" w:color="auto"/>
        <w:left w:val="none" w:sz="0" w:space="0" w:color="auto"/>
        <w:bottom w:val="none" w:sz="0" w:space="0" w:color="auto"/>
        <w:right w:val="none" w:sz="0" w:space="0" w:color="auto"/>
      </w:divBdr>
    </w:div>
    <w:div w:id="1998459808">
      <w:bodyDiv w:val="1"/>
      <w:marLeft w:val="0"/>
      <w:marRight w:val="0"/>
      <w:marTop w:val="0"/>
      <w:marBottom w:val="0"/>
      <w:divBdr>
        <w:top w:val="none" w:sz="0" w:space="0" w:color="auto"/>
        <w:left w:val="none" w:sz="0" w:space="0" w:color="auto"/>
        <w:bottom w:val="none" w:sz="0" w:space="0" w:color="auto"/>
        <w:right w:val="none" w:sz="0" w:space="0" w:color="auto"/>
      </w:divBdr>
    </w:div>
    <w:div w:id="204590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57BB77-9D13-48C2-820E-1D16E2A19B08}" type="doc">
      <dgm:prSet loTypeId="urn:microsoft.com/office/officeart/2005/8/layout/vProcess5" loCatId="process" qsTypeId="urn:microsoft.com/office/officeart/2005/8/quickstyle/simple1" qsCatId="simple" csTypeId="urn:microsoft.com/office/officeart/2005/8/colors/accent1_1" csCatId="accent1" phldr="1"/>
      <dgm:spPr/>
      <dgm:t>
        <a:bodyPr/>
        <a:lstStyle/>
        <a:p>
          <a:endParaRPr lang="en-US"/>
        </a:p>
      </dgm:t>
    </dgm:pt>
    <dgm:pt modelId="{6C0C7FF2-8144-48ED-96BB-DB38476F2B06}">
      <dgm:prSet phldrT="[Text]"/>
      <dgm:spPr/>
      <dgm:t>
        <a:bodyPr/>
        <a:lstStyle/>
        <a:p>
          <a:r>
            <a:rPr lang="en-US"/>
            <a:t>The European Commission proposes a new legislation.</a:t>
          </a:r>
        </a:p>
      </dgm:t>
    </dgm:pt>
    <dgm:pt modelId="{023248BC-8E7A-4981-A3B7-BD14DE8500AF}" type="parTrans" cxnId="{33ABFD5F-E224-4596-A181-AAA8E76EBC38}">
      <dgm:prSet/>
      <dgm:spPr/>
      <dgm:t>
        <a:bodyPr/>
        <a:lstStyle/>
        <a:p>
          <a:endParaRPr lang="en-US"/>
        </a:p>
      </dgm:t>
    </dgm:pt>
    <dgm:pt modelId="{0905191C-E7CC-4A77-A0CD-3F4CF16A1576}" type="sibTrans" cxnId="{33ABFD5F-E224-4596-A181-AAA8E76EBC38}">
      <dgm:prSet/>
      <dgm:spPr/>
      <dgm:t>
        <a:bodyPr/>
        <a:lstStyle/>
        <a:p>
          <a:endParaRPr lang="en-US"/>
        </a:p>
      </dgm:t>
    </dgm:pt>
    <dgm:pt modelId="{CBE820F2-0863-4837-BD22-E2EE6E633624}">
      <dgm:prSet phldrT="[Text]"/>
      <dgm:spPr/>
      <dgm:t>
        <a:bodyPr/>
        <a:lstStyle/>
        <a:p>
          <a:r>
            <a:rPr lang="en-US"/>
            <a:t>The piece of legislation is discussed seperately by the Parliament and the Council</a:t>
          </a:r>
        </a:p>
      </dgm:t>
    </dgm:pt>
    <dgm:pt modelId="{C8BF7391-01DC-4BBD-BE48-FB98B8BC2800}" type="parTrans" cxnId="{63800B79-4977-4F35-B16B-1AA58B275EA1}">
      <dgm:prSet/>
      <dgm:spPr/>
      <dgm:t>
        <a:bodyPr/>
        <a:lstStyle/>
        <a:p>
          <a:endParaRPr lang="en-US"/>
        </a:p>
      </dgm:t>
    </dgm:pt>
    <dgm:pt modelId="{6F585992-1574-4E81-9307-4FE3D6A2958D}" type="sibTrans" cxnId="{63800B79-4977-4F35-B16B-1AA58B275EA1}">
      <dgm:prSet/>
      <dgm:spPr/>
      <dgm:t>
        <a:bodyPr/>
        <a:lstStyle/>
        <a:p>
          <a:endParaRPr lang="en-US"/>
        </a:p>
      </dgm:t>
    </dgm:pt>
    <dgm:pt modelId="{E38F7F09-FF96-492D-AC87-64EF65552636}">
      <dgm:prSet phldrT="[Text]"/>
      <dgm:spPr/>
      <dgm:t>
        <a:bodyPr/>
        <a:lstStyle/>
        <a:p>
          <a:r>
            <a:rPr lang="en-US"/>
            <a:t>The Parliament and the Council agree on their seperate positions having amended the initial text proposed by the Commission</a:t>
          </a:r>
        </a:p>
      </dgm:t>
    </dgm:pt>
    <dgm:pt modelId="{CA0FEA02-0507-4DFA-83B7-8059630E2CA4}" type="parTrans" cxnId="{C108B9FA-1619-4B67-AF7A-90951873204E}">
      <dgm:prSet/>
      <dgm:spPr/>
      <dgm:t>
        <a:bodyPr/>
        <a:lstStyle/>
        <a:p>
          <a:endParaRPr lang="en-US"/>
        </a:p>
      </dgm:t>
    </dgm:pt>
    <dgm:pt modelId="{5667339F-FD2E-40C4-B6DA-BFAB8F4EA22E}" type="sibTrans" cxnId="{C108B9FA-1619-4B67-AF7A-90951873204E}">
      <dgm:prSet/>
      <dgm:spPr/>
      <dgm:t>
        <a:bodyPr/>
        <a:lstStyle/>
        <a:p>
          <a:endParaRPr lang="en-US"/>
        </a:p>
      </dgm:t>
    </dgm:pt>
    <dgm:pt modelId="{54B1A297-5495-4F8A-8071-7FB3486CA65B}">
      <dgm:prSet/>
      <dgm:spPr/>
      <dgm:t>
        <a:bodyPr/>
        <a:lstStyle/>
        <a:p>
          <a:r>
            <a:rPr lang="en-US"/>
            <a:t>After the positions of the Parliament and the Council are finalised, the trilogues begin, or the negotiations between the Parliament, Council and Commission to agree on the final text. </a:t>
          </a:r>
        </a:p>
      </dgm:t>
    </dgm:pt>
    <dgm:pt modelId="{D998F953-C07E-4563-B324-C3702147C9D5}" type="parTrans" cxnId="{DFB52FA1-5756-4F82-89F9-F2CC61D4ACEC}">
      <dgm:prSet/>
      <dgm:spPr/>
      <dgm:t>
        <a:bodyPr/>
        <a:lstStyle/>
        <a:p>
          <a:endParaRPr lang="en-US"/>
        </a:p>
      </dgm:t>
    </dgm:pt>
    <dgm:pt modelId="{7B8ABACA-F19B-46F3-9278-81922FD90187}" type="sibTrans" cxnId="{DFB52FA1-5756-4F82-89F9-F2CC61D4ACEC}">
      <dgm:prSet/>
      <dgm:spPr/>
      <dgm:t>
        <a:bodyPr/>
        <a:lstStyle/>
        <a:p>
          <a:endParaRPr lang="en-US"/>
        </a:p>
      </dgm:t>
    </dgm:pt>
    <dgm:pt modelId="{DE980007-87CB-4120-BF89-DE0D242F5462}" type="pres">
      <dgm:prSet presAssocID="{0D57BB77-9D13-48C2-820E-1D16E2A19B08}" presName="outerComposite" presStyleCnt="0">
        <dgm:presLayoutVars>
          <dgm:chMax val="5"/>
          <dgm:dir/>
          <dgm:resizeHandles val="exact"/>
        </dgm:presLayoutVars>
      </dgm:prSet>
      <dgm:spPr/>
    </dgm:pt>
    <dgm:pt modelId="{3326816B-1B7A-4CD0-9832-BDF290ACB734}" type="pres">
      <dgm:prSet presAssocID="{0D57BB77-9D13-48C2-820E-1D16E2A19B08}" presName="dummyMaxCanvas" presStyleCnt="0">
        <dgm:presLayoutVars/>
      </dgm:prSet>
      <dgm:spPr/>
    </dgm:pt>
    <dgm:pt modelId="{44004B54-738F-46DB-BB2F-CF1109B48FDD}" type="pres">
      <dgm:prSet presAssocID="{0D57BB77-9D13-48C2-820E-1D16E2A19B08}" presName="FourNodes_1" presStyleLbl="node1" presStyleIdx="0" presStyleCnt="4">
        <dgm:presLayoutVars>
          <dgm:bulletEnabled val="1"/>
        </dgm:presLayoutVars>
      </dgm:prSet>
      <dgm:spPr/>
    </dgm:pt>
    <dgm:pt modelId="{CCFE4ABD-8F9A-400C-9F7A-8E89AC10F815}" type="pres">
      <dgm:prSet presAssocID="{0D57BB77-9D13-48C2-820E-1D16E2A19B08}" presName="FourNodes_2" presStyleLbl="node1" presStyleIdx="1" presStyleCnt="4">
        <dgm:presLayoutVars>
          <dgm:bulletEnabled val="1"/>
        </dgm:presLayoutVars>
      </dgm:prSet>
      <dgm:spPr/>
    </dgm:pt>
    <dgm:pt modelId="{65A12476-6506-4E69-B6CD-4381B16E39A7}" type="pres">
      <dgm:prSet presAssocID="{0D57BB77-9D13-48C2-820E-1D16E2A19B08}" presName="FourNodes_3" presStyleLbl="node1" presStyleIdx="2" presStyleCnt="4">
        <dgm:presLayoutVars>
          <dgm:bulletEnabled val="1"/>
        </dgm:presLayoutVars>
      </dgm:prSet>
      <dgm:spPr/>
    </dgm:pt>
    <dgm:pt modelId="{BF1A99D1-68EF-4502-B458-EA00BDC5B337}" type="pres">
      <dgm:prSet presAssocID="{0D57BB77-9D13-48C2-820E-1D16E2A19B08}" presName="FourNodes_4" presStyleLbl="node1" presStyleIdx="3" presStyleCnt="4">
        <dgm:presLayoutVars>
          <dgm:bulletEnabled val="1"/>
        </dgm:presLayoutVars>
      </dgm:prSet>
      <dgm:spPr/>
    </dgm:pt>
    <dgm:pt modelId="{2B624522-3260-40B8-A463-1FEF4C3E4112}" type="pres">
      <dgm:prSet presAssocID="{0D57BB77-9D13-48C2-820E-1D16E2A19B08}" presName="FourConn_1-2" presStyleLbl="fgAccFollowNode1" presStyleIdx="0" presStyleCnt="3">
        <dgm:presLayoutVars>
          <dgm:bulletEnabled val="1"/>
        </dgm:presLayoutVars>
      </dgm:prSet>
      <dgm:spPr/>
    </dgm:pt>
    <dgm:pt modelId="{DED88941-DEEF-45B1-8880-3EACCF56D916}" type="pres">
      <dgm:prSet presAssocID="{0D57BB77-9D13-48C2-820E-1D16E2A19B08}" presName="FourConn_2-3" presStyleLbl="fgAccFollowNode1" presStyleIdx="1" presStyleCnt="3">
        <dgm:presLayoutVars>
          <dgm:bulletEnabled val="1"/>
        </dgm:presLayoutVars>
      </dgm:prSet>
      <dgm:spPr/>
    </dgm:pt>
    <dgm:pt modelId="{51554A3C-4FEF-4B6A-BCB6-ABE8CAE33C69}" type="pres">
      <dgm:prSet presAssocID="{0D57BB77-9D13-48C2-820E-1D16E2A19B08}" presName="FourConn_3-4" presStyleLbl="fgAccFollowNode1" presStyleIdx="2" presStyleCnt="3">
        <dgm:presLayoutVars>
          <dgm:bulletEnabled val="1"/>
        </dgm:presLayoutVars>
      </dgm:prSet>
      <dgm:spPr/>
    </dgm:pt>
    <dgm:pt modelId="{EF0BD133-883C-4AB5-99E4-33CABE181C5F}" type="pres">
      <dgm:prSet presAssocID="{0D57BB77-9D13-48C2-820E-1D16E2A19B08}" presName="FourNodes_1_text" presStyleLbl="node1" presStyleIdx="3" presStyleCnt="4">
        <dgm:presLayoutVars>
          <dgm:bulletEnabled val="1"/>
        </dgm:presLayoutVars>
      </dgm:prSet>
      <dgm:spPr/>
    </dgm:pt>
    <dgm:pt modelId="{7F7AE62E-79D4-4B24-A4E8-995D813A3424}" type="pres">
      <dgm:prSet presAssocID="{0D57BB77-9D13-48C2-820E-1D16E2A19B08}" presName="FourNodes_2_text" presStyleLbl="node1" presStyleIdx="3" presStyleCnt="4">
        <dgm:presLayoutVars>
          <dgm:bulletEnabled val="1"/>
        </dgm:presLayoutVars>
      </dgm:prSet>
      <dgm:spPr/>
    </dgm:pt>
    <dgm:pt modelId="{72E69625-2E1E-417F-A786-6EDB3ED94C36}" type="pres">
      <dgm:prSet presAssocID="{0D57BB77-9D13-48C2-820E-1D16E2A19B08}" presName="FourNodes_3_text" presStyleLbl="node1" presStyleIdx="3" presStyleCnt="4">
        <dgm:presLayoutVars>
          <dgm:bulletEnabled val="1"/>
        </dgm:presLayoutVars>
      </dgm:prSet>
      <dgm:spPr/>
    </dgm:pt>
    <dgm:pt modelId="{4D3F06D1-9CDE-423A-8BC4-1C119810FFDA}" type="pres">
      <dgm:prSet presAssocID="{0D57BB77-9D13-48C2-820E-1D16E2A19B08}" presName="FourNodes_4_text" presStyleLbl="node1" presStyleIdx="3" presStyleCnt="4">
        <dgm:presLayoutVars>
          <dgm:bulletEnabled val="1"/>
        </dgm:presLayoutVars>
      </dgm:prSet>
      <dgm:spPr/>
    </dgm:pt>
  </dgm:ptLst>
  <dgm:cxnLst>
    <dgm:cxn modelId="{A89B5724-321E-4336-A218-54A89F3C7B8E}" type="presOf" srcId="{6F585992-1574-4E81-9307-4FE3D6A2958D}" destId="{DED88941-DEEF-45B1-8880-3EACCF56D916}" srcOrd="0" destOrd="0" presId="urn:microsoft.com/office/officeart/2005/8/layout/vProcess5"/>
    <dgm:cxn modelId="{6ADE4E2C-CC26-4F85-8DCB-9253D7E2F2CA}" type="presOf" srcId="{6C0C7FF2-8144-48ED-96BB-DB38476F2B06}" destId="{44004B54-738F-46DB-BB2F-CF1109B48FDD}" srcOrd="0" destOrd="0" presId="urn:microsoft.com/office/officeart/2005/8/layout/vProcess5"/>
    <dgm:cxn modelId="{33ABFD5F-E224-4596-A181-AAA8E76EBC38}" srcId="{0D57BB77-9D13-48C2-820E-1D16E2A19B08}" destId="{6C0C7FF2-8144-48ED-96BB-DB38476F2B06}" srcOrd="0" destOrd="0" parTransId="{023248BC-8E7A-4981-A3B7-BD14DE8500AF}" sibTransId="{0905191C-E7CC-4A77-A0CD-3F4CF16A1576}"/>
    <dgm:cxn modelId="{63800B79-4977-4F35-B16B-1AA58B275EA1}" srcId="{0D57BB77-9D13-48C2-820E-1D16E2A19B08}" destId="{CBE820F2-0863-4837-BD22-E2EE6E633624}" srcOrd="1" destOrd="0" parTransId="{C8BF7391-01DC-4BBD-BE48-FB98B8BC2800}" sibTransId="{6F585992-1574-4E81-9307-4FE3D6A2958D}"/>
    <dgm:cxn modelId="{4F93347F-5B77-4ABD-A4BE-62C6136B62B9}" type="presOf" srcId="{54B1A297-5495-4F8A-8071-7FB3486CA65B}" destId="{4D3F06D1-9CDE-423A-8BC4-1C119810FFDA}" srcOrd="1" destOrd="0" presId="urn:microsoft.com/office/officeart/2005/8/layout/vProcess5"/>
    <dgm:cxn modelId="{B6583299-7E3D-4E25-B1F3-90D1EE399454}" type="presOf" srcId="{54B1A297-5495-4F8A-8071-7FB3486CA65B}" destId="{BF1A99D1-68EF-4502-B458-EA00BDC5B337}" srcOrd="0" destOrd="0" presId="urn:microsoft.com/office/officeart/2005/8/layout/vProcess5"/>
    <dgm:cxn modelId="{DFB52FA1-5756-4F82-89F9-F2CC61D4ACEC}" srcId="{0D57BB77-9D13-48C2-820E-1D16E2A19B08}" destId="{54B1A297-5495-4F8A-8071-7FB3486CA65B}" srcOrd="3" destOrd="0" parTransId="{D998F953-C07E-4563-B324-C3702147C9D5}" sibTransId="{7B8ABACA-F19B-46F3-9278-81922FD90187}"/>
    <dgm:cxn modelId="{18A9AFA4-194F-4A75-8721-B683609FE83B}" type="presOf" srcId="{0905191C-E7CC-4A77-A0CD-3F4CF16A1576}" destId="{2B624522-3260-40B8-A463-1FEF4C3E4112}" srcOrd="0" destOrd="0" presId="urn:microsoft.com/office/officeart/2005/8/layout/vProcess5"/>
    <dgm:cxn modelId="{25B14CA9-FF7F-4A9D-88A5-A456B4CE948C}" type="presOf" srcId="{6C0C7FF2-8144-48ED-96BB-DB38476F2B06}" destId="{EF0BD133-883C-4AB5-99E4-33CABE181C5F}" srcOrd="1" destOrd="0" presId="urn:microsoft.com/office/officeart/2005/8/layout/vProcess5"/>
    <dgm:cxn modelId="{EF1733BB-421C-414A-812E-76436962CCCD}" type="presOf" srcId="{E38F7F09-FF96-492D-AC87-64EF65552636}" destId="{72E69625-2E1E-417F-A786-6EDB3ED94C36}" srcOrd="1" destOrd="0" presId="urn:microsoft.com/office/officeart/2005/8/layout/vProcess5"/>
    <dgm:cxn modelId="{02B436BB-1184-4583-9ED0-41D2AD1DAA50}" type="presOf" srcId="{CBE820F2-0863-4837-BD22-E2EE6E633624}" destId="{7F7AE62E-79D4-4B24-A4E8-995D813A3424}" srcOrd="1" destOrd="0" presId="urn:microsoft.com/office/officeart/2005/8/layout/vProcess5"/>
    <dgm:cxn modelId="{C13B62BD-63F3-42A0-B60E-3C966C05BBD9}" type="presOf" srcId="{E38F7F09-FF96-492D-AC87-64EF65552636}" destId="{65A12476-6506-4E69-B6CD-4381B16E39A7}" srcOrd="0" destOrd="0" presId="urn:microsoft.com/office/officeart/2005/8/layout/vProcess5"/>
    <dgm:cxn modelId="{55702ECD-920A-4AF4-A863-04ED0BAB71C5}" type="presOf" srcId="{5667339F-FD2E-40C4-B6DA-BFAB8F4EA22E}" destId="{51554A3C-4FEF-4B6A-BCB6-ABE8CAE33C69}" srcOrd="0" destOrd="0" presId="urn:microsoft.com/office/officeart/2005/8/layout/vProcess5"/>
    <dgm:cxn modelId="{B3D34AE0-5F69-439C-9FF7-3A415FA5CFE8}" type="presOf" srcId="{CBE820F2-0863-4837-BD22-E2EE6E633624}" destId="{CCFE4ABD-8F9A-400C-9F7A-8E89AC10F815}" srcOrd="0" destOrd="0" presId="urn:microsoft.com/office/officeart/2005/8/layout/vProcess5"/>
    <dgm:cxn modelId="{E22FAEEE-CF23-4097-AB35-0FEDB1675402}" type="presOf" srcId="{0D57BB77-9D13-48C2-820E-1D16E2A19B08}" destId="{DE980007-87CB-4120-BF89-DE0D242F5462}" srcOrd="0" destOrd="0" presId="urn:microsoft.com/office/officeart/2005/8/layout/vProcess5"/>
    <dgm:cxn modelId="{C108B9FA-1619-4B67-AF7A-90951873204E}" srcId="{0D57BB77-9D13-48C2-820E-1D16E2A19B08}" destId="{E38F7F09-FF96-492D-AC87-64EF65552636}" srcOrd="2" destOrd="0" parTransId="{CA0FEA02-0507-4DFA-83B7-8059630E2CA4}" sibTransId="{5667339F-FD2E-40C4-B6DA-BFAB8F4EA22E}"/>
    <dgm:cxn modelId="{07D1AF0D-7D30-4CCD-8EDD-5F412FFEC8E3}" type="presParOf" srcId="{DE980007-87CB-4120-BF89-DE0D242F5462}" destId="{3326816B-1B7A-4CD0-9832-BDF290ACB734}" srcOrd="0" destOrd="0" presId="urn:microsoft.com/office/officeart/2005/8/layout/vProcess5"/>
    <dgm:cxn modelId="{2075BFBB-0BDD-4A14-B8B0-4339BE38603E}" type="presParOf" srcId="{DE980007-87CB-4120-BF89-DE0D242F5462}" destId="{44004B54-738F-46DB-BB2F-CF1109B48FDD}" srcOrd="1" destOrd="0" presId="urn:microsoft.com/office/officeart/2005/8/layout/vProcess5"/>
    <dgm:cxn modelId="{BDE57747-8C80-41A2-9E19-8E5DC7564F30}" type="presParOf" srcId="{DE980007-87CB-4120-BF89-DE0D242F5462}" destId="{CCFE4ABD-8F9A-400C-9F7A-8E89AC10F815}" srcOrd="2" destOrd="0" presId="urn:microsoft.com/office/officeart/2005/8/layout/vProcess5"/>
    <dgm:cxn modelId="{1F98B609-A043-4D57-8F91-DCA3B331712F}" type="presParOf" srcId="{DE980007-87CB-4120-BF89-DE0D242F5462}" destId="{65A12476-6506-4E69-B6CD-4381B16E39A7}" srcOrd="3" destOrd="0" presId="urn:microsoft.com/office/officeart/2005/8/layout/vProcess5"/>
    <dgm:cxn modelId="{AB3279C0-4C5D-424B-8DF0-CAB3F1E2D227}" type="presParOf" srcId="{DE980007-87CB-4120-BF89-DE0D242F5462}" destId="{BF1A99D1-68EF-4502-B458-EA00BDC5B337}" srcOrd="4" destOrd="0" presId="urn:microsoft.com/office/officeart/2005/8/layout/vProcess5"/>
    <dgm:cxn modelId="{B9E67F0B-0536-4DED-B180-F0048BC9C572}" type="presParOf" srcId="{DE980007-87CB-4120-BF89-DE0D242F5462}" destId="{2B624522-3260-40B8-A463-1FEF4C3E4112}" srcOrd="5" destOrd="0" presId="urn:microsoft.com/office/officeart/2005/8/layout/vProcess5"/>
    <dgm:cxn modelId="{0ADA651F-6978-4CCB-A053-05170219017D}" type="presParOf" srcId="{DE980007-87CB-4120-BF89-DE0D242F5462}" destId="{DED88941-DEEF-45B1-8880-3EACCF56D916}" srcOrd="6" destOrd="0" presId="urn:microsoft.com/office/officeart/2005/8/layout/vProcess5"/>
    <dgm:cxn modelId="{49EECE5B-C637-4FBC-B22C-628F957DCFFA}" type="presParOf" srcId="{DE980007-87CB-4120-BF89-DE0D242F5462}" destId="{51554A3C-4FEF-4B6A-BCB6-ABE8CAE33C69}" srcOrd="7" destOrd="0" presId="urn:microsoft.com/office/officeart/2005/8/layout/vProcess5"/>
    <dgm:cxn modelId="{E1473395-6E58-433D-A7D6-A07187D59D60}" type="presParOf" srcId="{DE980007-87CB-4120-BF89-DE0D242F5462}" destId="{EF0BD133-883C-4AB5-99E4-33CABE181C5F}" srcOrd="8" destOrd="0" presId="urn:microsoft.com/office/officeart/2005/8/layout/vProcess5"/>
    <dgm:cxn modelId="{D79AD8E2-879C-464B-8FFF-2B4CE4750DED}" type="presParOf" srcId="{DE980007-87CB-4120-BF89-DE0D242F5462}" destId="{7F7AE62E-79D4-4B24-A4E8-995D813A3424}" srcOrd="9" destOrd="0" presId="urn:microsoft.com/office/officeart/2005/8/layout/vProcess5"/>
    <dgm:cxn modelId="{3D0D447B-9F73-4086-9FEC-FA143B662DC8}" type="presParOf" srcId="{DE980007-87CB-4120-BF89-DE0D242F5462}" destId="{72E69625-2E1E-417F-A786-6EDB3ED94C36}" srcOrd="10" destOrd="0" presId="urn:microsoft.com/office/officeart/2005/8/layout/vProcess5"/>
    <dgm:cxn modelId="{75ACED5B-A892-4653-AAE5-A99EBE6F3AA9}" type="presParOf" srcId="{DE980007-87CB-4120-BF89-DE0D242F5462}" destId="{4D3F06D1-9CDE-423A-8BC4-1C119810FFDA}" srcOrd="11" destOrd="0" presId="urn:microsoft.com/office/officeart/2005/8/layout/v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004B54-738F-46DB-BB2F-CF1109B48FDD}">
      <dsp:nvSpPr>
        <dsp:cNvPr id="0" name=""/>
        <dsp:cNvSpPr/>
      </dsp:nvSpPr>
      <dsp:spPr>
        <a:xfrm>
          <a:off x="0" y="0"/>
          <a:ext cx="4942840" cy="544830"/>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a:t>The European Commission proposes a new legislation.</a:t>
          </a:r>
        </a:p>
      </dsp:txBody>
      <dsp:txXfrm>
        <a:off x="15958" y="15958"/>
        <a:ext cx="4308886" cy="512914"/>
      </dsp:txXfrm>
    </dsp:sp>
    <dsp:sp modelId="{CCFE4ABD-8F9A-400C-9F7A-8E89AC10F815}">
      <dsp:nvSpPr>
        <dsp:cNvPr id="0" name=""/>
        <dsp:cNvSpPr/>
      </dsp:nvSpPr>
      <dsp:spPr>
        <a:xfrm>
          <a:off x="413962" y="643890"/>
          <a:ext cx="4942840" cy="544830"/>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a:t>The piece of legislation is discussed seperately by the Parliament and the Council</a:t>
          </a:r>
        </a:p>
      </dsp:txBody>
      <dsp:txXfrm>
        <a:off x="429920" y="659848"/>
        <a:ext cx="4142821" cy="512914"/>
      </dsp:txXfrm>
    </dsp:sp>
    <dsp:sp modelId="{65A12476-6506-4E69-B6CD-4381B16E39A7}">
      <dsp:nvSpPr>
        <dsp:cNvPr id="0" name=""/>
        <dsp:cNvSpPr/>
      </dsp:nvSpPr>
      <dsp:spPr>
        <a:xfrm>
          <a:off x="821747" y="1287780"/>
          <a:ext cx="4942840" cy="544830"/>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a:t>The Parliament and the Council agree on their seperate positions having amended the initial text proposed by the Commission</a:t>
          </a:r>
        </a:p>
      </dsp:txBody>
      <dsp:txXfrm>
        <a:off x="837705" y="1303738"/>
        <a:ext cx="4149000" cy="512914"/>
      </dsp:txXfrm>
    </dsp:sp>
    <dsp:sp modelId="{BF1A99D1-68EF-4502-B458-EA00BDC5B337}">
      <dsp:nvSpPr>
        <dsp:cNvPr id="0" name=""/>
        <dsp:cNvSpPr/>
      </dsp:nvSpPr>
      <dsp:spPr>
        <a:xfrm>
          <a:off x="1235710" y="1931670"/>
          <a:ext cx="4942840" cy="544830"/>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US" sz="1000" kern="1200"/>
            <a:t>After the positions of the Parliament and the Council are finalised, the trilogues begin, or the negotiations between the Parliament, Council and Commission to agree on the final text. </a:t>
          </a:r>
        </a:p>
      </dsp:txBody>
      <dsp:txXfrm>
        <a:off x="1251668" y="1947628"/>
        <a:ext cx="4142821" cy="512914"/>
      </dsp:txXfrm>
    </dsp:sp>
    <dsp:sp modelId="{2B624522-3260-40B8-A463-1FEF4C3E4112}">
      <dsp:nvSpPr>
        <dsp:cNvPr id="0" name=""/>
        <dsp:cNvSpPr/>
      </dsp:nvSpPr>
      <dsp:spPr>
        <a:xfrm>
          <a:off x="4588700" y="417290"/>
          <a:ext cx="354139" cy="354139"/>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4668381" y="417290"/>
        <a:ext cx="194777" cy="266490"/>
      </dsp:txXfrm>
    </dsp:sp>
    <dsp:sp modelId="{DED88941-DEEF-45B1-8880-3EACCF56D916}">
      <dsp:nvSpPr>
        <dsp:cNvPr id="0" name=""/>
        <dsp:cNvSpPr/>
      </dsp:nvSpPr>
      <dsp:spPr>
        <a:xfrm>
          <a:off x="5002663" y="1061180"/>
          <a:ext cx="354139" cy="354139"/>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5082344" y="1061180"/>
        <a:ext cx="194777" cy="266490"/>
      </dsp:txXfrm>
    </dsp:sp>
    <dsp:sp modelId="{51554A3C-4FEF-4B6A-BCB6-ABE8CAE33C69}">
      <dsp:nvSpPr>
        <dsp:cNvPr id="0" name=""/>
        <dsp:cNvSpPr/>
      </dsp:nvSpPr>
      <dsp:spPr>
        <a:xfrm>
          <a:off x="5410447" y="1705070"/>
          <a:ext cx="354139" cy="354139"/>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5490128" y="1705070"/>
        <a:ext cx="194777" cy="266490"/>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4A28C-3DA7-4470-BCB2-24832328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3120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Patriarchea</dc:creator>
  <cp:keywords/>
  <dc:description/>
  <cp:lastModifiedBy>Monika Patriarchea</cp:lastModifiedBy>
  <cp:revision>2</cp:revision>
  <dcterms:created xsi:type="dcterms:W3CDTF">2022-06-29T15:10:00Z</dcterms:created>
  <dcterms:modified xsi:type="dcterms:W3CDTF">2022-06-29T15:10:00Z</dcterms:modified>
</cp:coreProperties>
</file>